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8F" w:rsidRPr="007F228F" w:rsidRDefault="007F228F" w:rsidP="007F228F">
      <w:pPr>
        <w:rPr>
          <w:b/>
          <w:bCs/>
        </w:rPr>
      </w:pPr>
      <w:r w:rsidRPr="007F228F">
        <w:rPr>
          <w:b/>
          <w:bCs/>
        </w:rPr>
        <w:t>Finanční správa ČR zveřejní od 1. 4. 2013 na svých internetových stránkách bankovní účty plátců DPH (Tisková zpráva)</w:t>
      </w:r>
    </w:p>
    <w:p w:rsidR="007F228F" w:rsidRPr="007F228F" w:rsidRDefault="007F228F" w:rsidP="007F228F">
      <w:r w:rsidRPr="007F228F">
        <w:t>23. 1. 2013</w:t>
      </w:r>
    </w:p>
    <w:p w:rsidR="007F228F" w:rsidRPr="007F228F" w:rsidRDefault="007F228F" w:rsidP="007F228F">
      <w:pPr>
        <w:rPr>
          <w:b/>
          <w:bCs/>
        </w:rPr>
      </w:pPr>
      <w:r w:rsidRPr="007F228F">
        <w:rPr>
          <w:b/>
          <w:bCs/>
        </w:rPr>
        <w:t xml:space="preserve">Generální finanční ředitelství upozorňuje, že většina plátců DPH dosud nesplnila svou povinnost sdělit správci daně do 28. února 2013 čísla všech bankovních účtů používaných pro jejich ekonomickou činnost a z nich zvolit ty, které budou správcem daně zveřejněny na adrese </w:t>
      </w:r>
      <w:hyperlink r:id="rId5" w:history="1">
        <w:r w:rsidRPr="007F228F">
          <w:rPr>
            <w:rStyle w:val="Hypertextovodkaz"/>
            <w:b/>
            <w:bCs/>
          </w:rPr>
          <w:t>www.daneelektronicky.cz</w:t>
        </w:r>
      </w:hyperlink>
      <w:r w:rsidRPr="007F228F">
        <w:rPr>
          <w:b/>
          <w:bCs/>
        </w:rPr>
        <w:t xml:space="preserve"> </w:t>
      </w:r>
      <w:r w:rsidRPr="007F228F">
        <w:rPr>
          <w:b/>
          <w:bCs/>
        </w:rPr>
        <w:drawing>
          <wp:inline distT="0" distB="0" distL="0" distR="0">
            <wp:extent cx="111125" cy="97155"/>
            <wp:effectExtent l="0" t="0" r="3175" b="0"/>
            <wp:docPr id="2" name="Obrázek 2" descr="Odkaz na externí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kaz na externí 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125" cy="97155"/>
                    </a:xfrm>
                    <a:prstGeom prst="rect">
                      <a:avLst/>
                    </a:prstGeom>
                    <a:noFill/>
                    <a:ln>
                      <a:noFill/>
                    </a:ln>
                  </pic:spPr>
                </pic:pic>
              </a:graphicData>
            </a:graphic>
          </wp:inline>
        </w:drawing>
      </w:r>
    </w:p>
    <w:p w:rsidR="007F228F" w:rsidRPr="007F228F" w:rsidRDefault="007F228F" w:rsidP="007F228F">
      <w:r w:rsidRPr="007F228F">
        <w:t>Novela zákona o dani z přidané hodnoty přinesla v oblasti boje proti daňovým únikům některé změny, které by se měly pozitivně promítnout do právní jistoty plátců daně. Tyto změny navazují na komplex opatření, která svým efektem směřují i k dosažení čistoty trhu s cílem minimalizovat nepřípustnou konkurenční výhodu subjektů získanou tím, že krátí příjmy státního rozpočtu.</w:t>
      </w:r>
    </w:p>
    <w:p w:rsidR="007F228F" w:rsidRPr="007F228F" w:rsidRDefault="007F228F" w:rsidP="007F228F">
      <w:r w:rsidRPr="007F228F">
        <w:t>Jedním z těchto opatření je povinnost plátců sdělit správci daně jako povinný registrační údaj dle § 96 zákona o DPH, čísla všech svých účtů u poskytovatelů platebních služeb, pokud jsou používány pro ekonomickou činnost. Současně má plátce možnost určit, které z těchto jeho účtů budou zveřejněny v rámci veřejně přístupného registru plátců DPH způsobem umožňujícím dálkový přístup. Správce daně začne účty zveřejňovat od 1. 4. 2013 a to v databázi „Registr plátců DPH“.</w:t>
      </w:r>
    </w:p>
    <w:p w:rsidR="007F228F" w:rsidRPr="007F228F" w:rsidRDefault="007F228F" w:rsidP="007F228F">
      <w:r w:rsidRPr="007F228F">
        <w:t>Od téhož dne začne platit i ručení příjemce plnění v případě, že příjemce provedl úhradu na jiný než zveřejněný bankovní účet dodavatele. Od 1. 4. 2013 si současně plátci (příjemci plnění) budou moci zveřejněné účty poskytovatele zdanitelného plnění ověřovat dálkově prostřednictvím registru plátců DPH. Automatické ověřování účtů spolu s ověřováním spolehlivosti plátce bude součástí Web služby Daňového portálu, kterou v současné době Finanční správa ČR připravuje a bude k dispozici v průběhu prvního čtvrtletí 2013.</w:t>
      </w:r>
    </w:p>
    <w:p w:rsidR="007F228F" w:rsidRPr="007F228F" w:rsidRDefault="007F228F" w:rsidP="007F228F">
      <w:r w:rsidRPr="007F228F">
        <w:t>Zveřejnění předchází povinnost oznámit správci daně čísla všech svých bankovních účtů používaných k ekonomické činnosti. Tato povinnost se dotýká všech plátců DPH, tedy i těch, kteří již byli zaregistrováni před 1. 1. 2013. Zejména pro ně jde nyní o aktuální záležitost.</w:t>
      </w:r>
    </w:p>
    <w:p w:rsidR="007F228F" w:rsidRPr="007F228F" w:rsidRDefault="007F228F" w:rsidP="007F228F">
      <w:r w:rsidRPr="007F228F">
        <w:t xml:space="preserve">U stávajících plátců DPH, tj. zaregistrovaných před 1. 1. 2013, je v zákoně zakotvena </w:t>
      </w:r>
      <w:r w:rsidRPr="007F228F">
        <w:rPr>
          <w:b/>
          <w:bCs/>
        </w:rPr>
        <w:t>2 měsíční lhůta pro „doplnění“ předmětného registračního údaje</w:t>
      </w:r>
      <w:r w:rsidRPr="007F228F">
        <w:t xml:space="preserve">. Stávající plátci tak musí čísla </w:t>
      </w:r>
      <w:r w:rsidRPr="007F228F">
        <w:rPr>
          <w:b/>
          <w:bCs/>
        </w:rPr>
        <w:t>všech</w:t>
      </w:r>
      <w:r w:rsidRPr="007F228F">
        <w:t xml:space="preserve"> svých bankovních účtů, používaných k ekonomické činnosti a současně bankovní účty vybrané ke zveřejnění, oznámit správci daně nejpozději do 28. 2. 2013.</w:t>
      </w:r>
    </w:p>
    <w:p w:rsidR="007F228F" w:rsidRPr="007F228F" w:rsidRDefault="007F228F" w:rsidP="007F228F">
      <w:r w:rsidRPr="007F228F">
        <w:t>Z dosavadních podání došlých na finanční úřady je bohužel patrné, že většina stávajících plátců zatím oznámení údajů o bankovních účtech neučinila. Vzhledem k tomu, že se zákonem stanovená lhůta krátí, doporučuje Generální finanční ředitelství, aby plátci této problematice věnovali zvýšenou pozornost.</w:t>
      </w:r>
    </w:p>
    <w:p w:rsidR="007F228F" w:rsidRPr="007F228F" w:rsidRDefault="007F228F" w:rsidP="007F228F">
      <w:pPr>
        <w:rPr>
          <w:b/>
          <w:bCs/>
        </w:rPr>
      </w:pPr>
      <w:r w:rsidRPr="007F228F">
        <w:rPr>
          <w:b/>
          <w:bCs/>
        </w:rPr>
        <w:t>Jak bankovní účty správci daně sdělit?</w:t>
      </w:r>
    </w:p>
    <w:p w:rsidR="007F228F" w:rsidRPr="007F228F" w:rsidRDefault="007F228F" w:rsidP="007F228F">
      <w:r w:rsidRPr="007F228F">
        <w:t xml:space="preserve">Stávající plátce DPH je povinen splnit výše uvedenou povinnost, tj. provést oznámení ve lhůtě do 28. 2. 2013 prostřednictvím formuláře „Oznámení o změně registračních údajů / Žádost o zrušení registrace“ č. 25 5111 </w:t>
      </w:r>
      <w:proofErr w:type="spellStart"/>
      <w:r w:rsidRPr="007F228F">
        <w:t>MFin</w:t>
      </w:r>
      <w:proofErr w:type="spellEnd"/>
      <w:r w:rsidRPr="007F228F">
        <w:t xml:space="preserve"> 5111 - vzor č. 1.</w:t>
      </w:r>
    </w:p>
    <w:p w:rsidR="007F228F" w:rsidRPr="007F228F" w:rsidRDefault="007F228F" w:rsidP="007F228F">
      <w:r w:rsidRPr="007F228F">
        <w:t xml:space="preserve">Tiskopis je dostupný na internetových stránkách </w:t>
      </w:r>
      <w:hyperlink r:id="rId7" w:history="1">
        <w:r w:rsidRPr="007F228F">
          <w:rPr>
            <w:rStyle w:val="Hypertextovodkaz"/>
          </w:rPr>
          <w:t>www.financnisprava.cz</w:t>
        </w:r>
      </w:hyperlink>
      <w:r w:rsidRPr="007F228F">
        <w:t xml:space="preserve"> nebo přímo na odkazu </w:t>
      </w:r>
      <w:hyperlink r:id="rId8" w:history="1">
        <w:r w:rsidRPr="007F228F">
          <w:rPr>
            <w:rStyle w:val="Hypertextovodkaz"/>
          </w:rPr>
          <w:t>http://cds.mfcr.cz/sys/cds/scripts/tiskopisy/tiskopisy-pdf2013/5111_1.pdf</w:t>
        </w:r>
      </w:hyperlink>
    </w:p>
    <w:p w:rsidR="007F228F" w:rsidRPr="007F228F" w:rsidRDefault="007F228F" w:rsidP="007F228F">
      <w:r w:rsidRPr="007F228F">
        <w:t xml:space="preserve">Pokud stávající plátci DPH do konce února neučiní výše uvedené oznámení, má se ze zákona za to, že plátce určil ke zveřejnění všechny své účty, které správce daně u toho plátce eviduje v rámci registrační povinnosti. Tyto účty pak správce daně 1. 4. 2013 zveřejní (pokud jde skutečně o účty patřící plátci). Uvedené řešení však předpokládá, že bankovní </w:t>
      </w:r>
      <w:r w:rsidRPr="007F228F">
        <w:lastRenderedPageBreak/>
        <w:t>účet pro ekonomickou činnost byl v minulosti při registračním řízení správci daně sdělen a nadto nijak nezbavuje plátce odpovědnosti za splnění povinnosti oznámit všechny své účty používané k ekonomické činnosti, potažmo oznámení změn v tomto registračním údaji.</w:t>
      </w:r>
    </w:p>
    <w:p w:rsidR="007F228F" w:rsidRPr="007F228F" w:rsidRDefault="007F228F" w:rsidP="007F228F">
      <w:r w:rsidRPr="007F228F">
        <w:rPr>
          <w:b/>
          <w:bCs/>
        </w:rPr>
        <w:t>Plátci, kteří jsou registrováni k dani z přidané hodnoty po 1. 1. 2013</w:t>
      </w:r>
      <w:r w:rsidRPr="007F228F">
        <w:t xml:space="preserve">, sdělují správci daně tento povinný údaj při registraci, tj. výhradně prostřednictvím formuláře „Přihláška k registraci k dani z přidané hodnoty“ č. 25 5104 </w:t>
      </w:r>
      <w:proofErr w:type="spellStart"/>
      <w:r w:rsidRPr="007F228F">
        <w:t>MFin</w:t>
      </w:r>
      <w:proofErr w:type="spellEnd"/>
      <w:r w:rsidRPr="007F228F">
        <w:t xml:space="preserve"> 5104 - vzor č. 5. Přihláška je zveřejněna na internetových stránkách Finanční správy ČR </w:t>
      </w:r>
      <w:hyperlink r:id="rId9" w:history="1">
        <w:r w:rsidRPr="007F228F">
          <w:rPr>
            <w:rStyle w:val="Hypertextovodkaz"/>
          </w:rPr>
          <w:t>www.financnisprava.cz</w:t>
        </w:r>
      </w:hyperlink>
      <w:r w:rsidRPr="007F228F">
        <w:t xml:space="preserve"> v záložce Daňové tiskopisy (použití volby „Daň z přidané hodnoty“ - „Registrace“).</w:t>
      </w:r>
    </w:p>
    <w:p w:rsidR="007F228F" w:rsidRPr="007F228F" w:rsidRDefault="007F228F" w:rsidP="007F228F">
      <w:r w:rsidRPr="007F228F">
        <w:t>Pro elektronické podání „Přihlášky k registraci k dani z přidané hodnoty“ i „Oznámení o změně registračních údajů/Žádost o zrušení registrace“ je aktuálně možné využít aplikace Elektronická podání pro finanční správu, tzv. „EPO“ na Daňovém portálu výběrem druhu podání - „Obecná písemnost“, kde vyplněný formulář bude zaslán jako příloha tohoto podání. Toto platí do doby zprovoznění elektronických podání k registračnímu řízení na Daňovém portálu. Zároveň je možné i nadále činit citovaná podání prostřednictvím Centrálního registračního místa na živnostenských úřadech.</w:t>
      </w:r>
    </w:p>
    <w:p w:rsidR="007F228F" w:rsidRPr="007F228F" w:rsidRDefault="007F228F" w:rsidP="007F228F">
      <w:r w:rsidRPr="007F228F">
        <w:t>V Praze dne 23. ledna 2013</w:t>
      </w:r>
    </w:p>
    <w:p w:rsidR="007F228F" w:rsidRPr="007F228F" w:rsidRDefault="007F228F" w:rsidP="007F228F">
      <w:r w:rsidRPr="007F228F">
        <w:t>Ing. Petra Homolová</w:t>
      </w:r>
      <w:r w:rsidRPr="007F228F">
        <w:br/>
        <w:t>tisková mluvčí Generálního finančního ředitelství</w:t>
      </w:r>
    </w:p>
    <w:p w:rsidR="007F228F" w:rsidRPr="007F228F" w:rsidRDefault="007F228F" w:rsidP="007F228F">
      <w:r w:rsidRPr="007F228F">
        <w:t>Poslat odkaz e-mailem</w:t>
      </w:r>
    </w:p>
    <w:p w:rsidR="007F228F" w:rsidRPr="007F228F" w:rsidRDefault="007F228F" w:rsidP="007F228F">
      <w:pPr>
        <w:rPr>
          <w:b/>
          <w:bCs/>
          <w:vanish/>
        </w:rPr>
      </w:pPr>
      <w:r w:rsidRPr="007F228F">
        <w:rPr>
          <w:b/>
          <w:bCs/>
          <w:vanish/>
        </w:rPr>
        <w:t>Poslat odkaz e-mailem</w:t>
      </w:r>
    </w:p>
    <w:p w:rsidR="007F228F" w:rsidRPr="007F228F" w:rsidRDefault="007F228F" w:rsidP="007F228F">
      <w:pPr>
        <w:rPr>
          <w:vanish/>
        </w:rPr>
      </w:pPr>
      <w:r w:rsidRPr="007F228F">
        <w:rPr>
          <w:vanish/>
        </w:rPr>
        <w:t>Začátek formuláře</w:t>
      </w:r>
    </w:p>
    <w:tbl>
      <w:tblPr>
        <w:tblW w:w="5000" w:type="pct"/>
        <w:tblCellSpacing w:w="0" w:type="dxa"/>
        <w:tblCellMar>
          <w:left w:w="0" w:type="dxa"/>
          <w:right w:w="0" w:type="dxa"/>
        </w:tblCellMar>
        <w:tblLook w:val="04A0" w:firstRow="1" w:lastRow="0" w:firstColumn="1" w:lastColumn="0" w:noHBand="0" w:noVBand="1"/>
      </w:tblPr>
      <w:tblGrid>
        <w:gridCol w:w="2507"/>
        <w:gridCol w:w="1525"/>
        <w:gridCol w:w="2460"/>
        <w:gridCol w:w="1525"/>
        <w:gridCol w:w="1205"/>
      </w:tblGrid>
      <w:tr w:rsidR="007F228F" w:rsidRPr="007F228F" w:rsidTr="007F228F">
        <w:trPr>
          <w:tblCellSpacing w:w="0" w:type="dxa"/>
        </w:trPr>
        <w:tc>
          <w:tcPr>
            <w:tcW w:w="0" w:type="auto"/>
            <w:tcMar>
              <w:top w:w="30" w:type="dxa"/>
              <w:left w:w="75" w:type="dxa"/>
              <w:bottom w:w="30" w:type="dxa"/>
              <w:right w:w="75" w:type="dxa"/>
            </w:tcMar>
            <w:vAlign w:val="center"/>
            <w:hideMark/>
          </w:tcPr>
          <w:p w:rsidR="007F228F" w:rsidRPr="007F228F" w:rsidRDefault="007F228F" w:rsidP="007F228F">
            <w:r w:rsidRPr="007F228F">
              <w:t>Jméno adresáta:</w:t>
            </w:r>
          </w:p>
        </w:tc>
        <w:tc>
          <w:tcPr>
            <w:tcW w:w="0" w:type="auto"/>
            <w:tcMar>
              <w:top w:w="30" w:type="dxa"/>
              <w:left w:w="75" w:type="dxa"/>
              <w:bottom w:w="30" w:type="dxa"/>
              <w:right w:w="75" w:type="dxa"/>
            </w:tcMar>
            <w:vAlign w:val="center"/>
            <w:hideMark/>
          </w:tcPr>
          <w:p w:rsidR="007F228F" w:rsidRPr="007F228F" w:rsidRDefault="007F228F" w:rsidP="007F228F">
            <w:r w:rsidRPr="007F228F">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3.45pt;height:18.55pt" o:ole="">
                  <v:imagedata r:id="rId10" o:title=""/>
                </v:shape>
                <w:control r:id="rId11" w:name="DefaultOcxName" w:shapeid="_x0000_i1045"/>
              </w:object>
            </w:r>
          </w:p>
        </w:tc>
        <w:tc>
          <w:tcPr>
            <w:tcW w:w="0" w:type="auto"/>
            <w:tcMar>
              <w:top w:w="30" w:type="dxa"/>
              <w:left w:w="75" w:type="dxa"/>
              <w:bottom w:w="30" w:type="dxa"/>
              <w:right w:w="75" w:type="dxa"/>
            </w:tcMar>
            <w:vAlign w:val="center"/>
            <w:hideMark/>
          </w:tcPr>
          <w:p w:rsidR="007F228F" w:rsidRPr="007F228F" w:rsidRDefault="007F228F" w:rsidP="007F228F">
            <w:r w:rsidRPr="007F228F">
              <w:t>E-mail adresáta:</w:t>
            </w:r>
          </w:p>
        </w:tc>
        <w:tc>
          <w:tcPr>
            <w:tcW w:w="0" w:type="auto"/>
            <w:tcMar>
              <w:top w:w="30" w:type="dxa"/>
              <w:left w:w="75" w:type="dxa"/>
              <w:bottom w:w="30" w:type="dxa"/>
              <w:right w:w="75" w:type="dxa"/>
            </w:tcMar>
            <w:vAlign w:val="center"/>
            <w:hideMark/>
          </w:tcPr>
          <w:p w:rsidR="007F228F" w:rsidRPr="007F228F" w:rsidRDefault="007F228F" w:rsidP="007F228F">
            <w:r w:rsidRPr="007F228F">
              <w:object w:dxaOrig="1440" w:dyaOrig="1440">
                <v:shape id="_x0000_i1044" type="#_x0000_t75" style="width:53.45pt;height:18.55pt" o:ole="">
                  <v:imagedata r:id="rId10" o:title=""/>
                </v:shape>
                <w:control r:id="rId12" w:name="DefaultOcxName1" w:shapeid="_x0000_i1044"/>
              </w:object>
            </w:r>
          </w:p>
        </w:tc>
        <w:tc>
          <w:tcPr>
            <w:tcW w:w="0" w:type="auto"/>
            <w:vMerge w:val="restart"/>
            <w:tcMar>
              <w:top w:w="30" w:type="dxa"/>
              <w:left w:w="75" w:type="dxa"/>
              <w:bottom w:w="30" w:type="dxa"/>
              <w:right w:w="75" w:type="dxa"/>
            </w:tcMar>
            <w:vAlign w:val="center"/>
            <w:hideMark/>
          </w:tcPr>
          <w:p w:rsidR="007F228F" w:rsidRPr="007F228F" w:rsidRDefault="007F228F" w:rsidP="007F228F">
            <w:r w:rsidRPr="007F228F">
              <w:object w:dxaOrig="1440" w:dyaOrig="1440">
                <v:shape id="_x0000_i1043" type="#_x0000_t75" style="width:40.35pt;height:22.9pt" o:ole="">
                  <v:imagedata r:id="rId13" o:title=""/>
                </v:shape>
                <w:control r:id="rId14" w:name="DefaultOcxName2" w:shapeid="_x0000_i1043"/>
              </w:object>
            </w:r>
          </w:p>
        </w:tc>
      </w:tr>
      <w:tr w:rsidR="007F228F" w:rsidRPr="007F228F" w:rsidTr="007F228F">
        <w:trPr>
          <w:tblCellSpacing w:w="0" w:type="dxa"/>
        </w:trPr>
        <w:tc>
          <w:tcPr>
            <w:tcW w:w="0" w:type="auto"/>
            <w:tcMar>
              <w:top w:w="30" w:type="dxa"/>
              <w:left w:w="75" w:type="dxa"/>
              <w:bottom w:w="30" w:type="dxa"/>
              <w:right w:w="75" w:type="dxa"/>
            </w:tcMar>
            <w:vAlign w:val="center"/>
            <w:hideMark/>
          </w:tcPr>
          <w:p w:rsidR="007F228F" w:rsidRPr="007F228F" w:rsidRDefault="007F228F" w:rsidP="007F228F">
            <w:r w:rsidRPr="007F228F">
              <w:t>Jméno odesílatele:</w:t>
            </w:r>
          </w:p>
        </w:tc>
        <w:tc>
          <w:tcPr>
            <w:tcW w:w="0" w:type="auto"/>
            <w:tcMar>
              <w:top w:w="30" w:type="dxa"/>
              <w:left w:w="75" w:type="dxa"/>
              <w:bottom w:w="30" w:type="dxa"/>
              <w:right w:w="75" w:type="dxa"/>
            </w:tcMar>
            <w:vAlign w:val="center"/>
            <w:hideMark/>
          </w:tcPr>
          <w:p w:rsidR="007F228F" w:rsidRPr="007F228F" w:rsidRDefault="007F228F" w:rsidP="007F228F">
            <w:r w:rsidRPr="007F228F">
              <w:object w:dxaOrig="1440" w:dyaOrig="1440">
                <v:shape id="_x0000_i1042" type="#_x0000_t75" style="width:53.45pt;height:18.55pt" o:ole="">
                  <v:imagedata r:id="rId10" o:title=""/>
                </v:shape>
                <w:control r:id="rId15" w:name="DefaultOcxName3" w:shapeid="_x0000_i1042"/>
              </w:object>
            </w:r>
          </w:p>
        </w:tc>
        <w:tc>
          <w:tcPr>
            <w:tcW w:w="0" w:type="auto"/>
            <w:tcMar>
              <w:top w:w="30" w:type="dxa"/>
              <w:left w:w="75" w:type="dxa"/>
              <w:bottom w:w="30" w:type="dxa"/>
              <w:right w:w="75" w:type="dxa"/>
            </w:tcMar>
            <w:vAlign w:val="center"/>
            <w:hideMark/>
          </w:tcPr>
          <w:p w:rsidR="007F228F" w:rsidRPr="007F228F" w:rsidRDefault="007F228F" w:rsidP="007F228F">
            <w:r w:rsidRPr="007F228F">
              <w:t>E-mail odesílatele:</w:t>
            </w:r>
          </w:p>
        </w:tc>
        <w:tc>
          <w:tcPr>
            <w:tcW w:w="0" w:type="auto"/>
            <w:tcMar>
              <w:top w:w="30" w:type="dxa"/>
              <w:left w:w="75" w:type="dxa"/>
              <w:bottom w:w="30" w:type="dxa"/>
              <w:right w:w="75" w:type="dxa"/>
            </w:tcMar>
            <w:vAlign w:val="center"/>
            <w:hideMark/>
          </w:tcPr>
          <w:p w:rsidR="007F228F" w:rsidRPr="007F228F" w:rsidRDefault="007F228F" w:rsidP="007F228F">
            <w:r w:rsidRPr="007F228F">
              <w:object w:dxaOrig="1440" w:dyaOrig="1440">
                <v:shape id="_x0000_i1041" type="#_x0000_t75" style="width:53.45pt;height:18.55pt" o:ole="">
                  <v:imagedata r:id="rId10" o:title=""/>
                </v:shape>
                <w:control r:id="rId16" w:name="DefaultOcxName4" w:shapeid="_x0000_i1041"/>
              </w:object>
            </w:r>
          </w:p>
        </w:tc>
        <w:tc>
          <w:tcPr>
            <w:tcW w:w="0" w:type="auto"/>
            <w:vMerge/>
            <w:vAlign w:val="center"/>
            <w:hideMark/>
          </w:tcPr>
          <w:p w:rsidR="007F228F" w:rsidRPr="007F228F" w:rsidRDefault="007F228F" w:rsidP="007F228F"/>
        </w:tc>
      </w:tr>
    </w:tbl>
    <w:p w:rsidR="007F228F" w:rsidRPr="007F228F" w:rsidRDefault="007F228F" w:rsidP="007F228F">
      <w:pPr>
        <w:rPr>
          <w:vanish/>
        </w:rPr>
      </w:pPr>
      <w:r w:rsidRPr="007F228F">
        <w:rPr>
          <w:vanish/>
        </w:rPr>
        <w:t>Konec formuláře</w:t>
      </w:r>
    </w:p>
    <w:p w:rsidR="007F228F" w:rsidRPr="007F228F" w:rsidRDefault="007F228F" w:rsidP="007F228F">
      <w:hyperlink r:id="rId17" w:tooltip="RSS" w:history="1">
        <w:proofErr w:type="spellStart"/>
        <w:r w:rsidRPr="007F228F">
          <w:rPr>
            <w:rStyle w:val="Hypertextovodkaz"/>
          </w:rPr>
          <w:t>RSS</w:t>
        </w:r>
      </w:hyperlink>
      <w:r w:rsidRPr="007F228F">
        <w:rPr>
          <w:vanish/>
        </w:rPr>
        <w:br/>
      </w:r>
      <w:hyperlink r:id="rId18" w:tooltip="Prohlášení o přístupnosti" w:history="1">
        <w:r w:rsidRPr="007F228F">
          <w:rPr>
            <w:rStyle w:val="Hypertextovodkaz"/>
          </w:rPr>
          <w:t>Prohlášení</w:t>
        </w:r>
        <w:proofErr w:type="spellEnd"/>
        <w:r w:rsidRPr="007F228F">
          <w:rPr>
            <w:rStyle w:val="Hypertextovodkaz"/>
          </w:rPr>
          <w:t xml:space="preserve"> o přístupnosti</w:t>
        </w:r>
      </w:hyperlink>
    </w:p>
    <w:p w:rsidR="007F228F" w:rsidRPr="007F228F" w:rsidRDefault="007F228F" w:rsidP="007F228F">
      <w:hyperlink r:id="rId19" w:history="1">
        <w:r w:rsidRPr="007F228F">
          <w:rPr>
            <w:rStyle w:val="Hypertextovodkaz"/>
          </w:rPr>
          <w:t>Copyright © 2006-2013</w:t>
        </w:r>
      </w:hyperlink>
      <w:r w:rsidRPr="007F228F">
        <w:t xml:space="preserve">, Generální finanční ředitelství - Lazarská 7, 117 22 Praha 1| </w:t>
      </w:r>
      <w:hyperlink r:id="rId20" w:history="1">
        <w:r w:rsidRPr="007F228F">
          <w:rPr>
            <w:rStyle w:val="Hypertextovodkaz"/>
          </w:rPr>
          <w:t>podatelna7000@fs.mfcr.cz</w:t>
        </w:r>
      </w:hyperlink>
      <w:r w:rsidRPr="007F228F">
        <w:t xml:space="preserve">| +420 296 852 222| Web: </w:t>
      </w:r>
      <w:hyperlink r:id="rId21" w:history="1">
        <w:r w:rsidRPr="007F228F">
          <w:rPr>
            <w:rStyle w:val="Hypertextovodkaz"/>
          </w:rPr>
          <w:t>web@fs.mfcr.cz</w:t>
        </w:r>
      </w:hyperlink>
      <w:r w:rsidRPr="007F228F">
        <w:t xml:space="preserve">| </w:t>
      </w:r>
      <w:r w:rsidRPr="007F228F">
        <w:drawing>
          <wp:inline distT="0" distB="0" distL="0" distR="0">
            <wp:extent cx="762000" cy="138430"/>
            <wp:effectExtent l="0" t="0" r="0" b="0"/>
            <wp:docPr id="1" name="Obrázek 1" descr="Creative Commons Licens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138430"/>
                    </a:xfrm>
                    <a:prstGeom prst="rect">
                      <a:avLst/>
                    </a:prstGeom>
                    <a:noFill/>
                    <a:ln>
                      <a:noFill/>
                    </a:ln>
                  </pic:spPr>
                </pic:pic>
              </a:graphicData>
            </a:graphic>
          </wp:inline>
        </w:drawing>
      </w:r>
    </w:p>
    <w:p w:rsidR="007F228F" w:rsidRPr="007F228F" w:rsidRDefault="007F228F" w:rsidP="007F228F">
      <w:r w:rsidRPr="007F228F">
        <w:pict>
          <v:rect id="_x0000_i1027" style="width:0;height:0" o:hralign="center" o:hrstd="t" o:hr="t" fillcolor="#a0a0a0" stroked="f"/>
        </w:pict>
      </w:r>
    </w:p>
    <w:p w:rsidR="007F228F" w:rsidRPr="007F228F" w:rsidRDefault="007F228F" w:rsidP="007F228F">
      <w:pPr>
        <w:rPr>
          <w:b/>
          <w:bCs/>
          <w:vanish/>
        </w:rPr>
      </w:pPr>
      <w:r w:rsidRPr="007F228F">
        <w:rPr>
          <w:b/>
          <w:bCs/>
          <w:vanish/>
        </w:rPr>
        <w:t>Ve stručnosti</w:t>
      </w:r>
    </w:p>
    <w:p w:rsidR="007F228F" w:rsidRPr="007F228F" w:rsidRDefault="007F228F" w:rsidP="007F228F">
      <w:pPr>
        <w:rPr>
          <w:b/>
          <w:bCs/>
          <w:vanish/>
        </w:rPr>
      </w:pPr>
      <w:r w:rsidRPr="007F228F">
        <w:rPr>
          <w:b/>
          <w:bCs/>
          <w:vanish/>
        </w:rPr>
        <w:t xml:space="preserve">Ve stručnosti </w:t>
      </w:r>
    </w:p>
    <w:p w:rsidR="007F228F" w:rsidRPr="007F228F" w:rsidRDefault="007F228F" w:rsidP="007F228F">
      <w:pPr>
        <w:rPr>
          <w:vanish/>
        </w:rPr>
      </w:pPr>
      <w:hyperlink r:id="rId24" w:history="1">
        <w:r w:rsidRPr="007F228F">
          <w:rPr>
            <w:rStyle w:val="Hypertextovodkaz"/>
            <w:vanish/>
          </w:rPr>
          <w:t>Územní pracoviště</w:t>
        </w:r>
      </w:hyperlink>
    </w:p>
    <w:p w:rsidR="007F228F" w:rsidRPr="007F228F" w:rsidRDefault="007F228F" w:rsidP="007F228F">
      <w:pPr>
        <w:rPr>
          <w:vanish/>
        </w:rPr>
      </w:pPr>
      <w:hyperlink r:id="rId25" w:history="1">
        <w:r w:rsidRPr="007F228F">
          <w:rPr>
            <w:rStyle w:val="Hypertextovodkaz"/>
            <w:vanish/>
          </w:rPr>
          <w:t>Úřední desky ÚP</w:t>
        </w:r>
      </w:hyperlink>
    </w:p>
    <w:p w:rsidR="007F228F" w:rsidRPr="007F228F" w:rsidRDefault="007F228F" w:rsidP="007F228F">
      <w:pPr>
        <w:rPr>
          <w:vanish/>
        </w:rPr>
      </w:pPr>
      <w:hyperlink r:id="rId26" w:history="1">
        <w:r w:rsidRPr="007F228F">
          <w:rPr>
            <w:rStyle w:val="Hypertextovodkaz"/>
            <w:vanish/>
          </w:rPr>
          <w:t>Správní poplatky Daně</w:t>
        </w:r>
      </w:hyperlink>
    </w:p>
    <w:p w:rsidR="007F228F" w:rsidRPr="007F228F" w:rsidRDefault="007F228F" w:rsidP="007F228F">
      <w:pPr>
        <w:rPr>
          <w:vanish/>
        </w:rPr>
      </w:pPr>
      <w:hyperlink r:id="rId27" w:history="1">
        <w:r w:rsidRPr="007F228F">
          <w:rPr>
            <w:rStyle w:val="Hypertextovodkaz"/>
            <w:vanish/>
          </w:rPr>
          <w:t>Daňové kalkulačky</w:t>
        </w:r>
      </w:hyperlink>
    </w:p>
    <w:p w:rsidR="007F228F" w:rsidRPr="007F228F" w:rsidRDefault="007F228F" w:rsidP="007F228F">
      <w:pPr>
        <w:rPr>
          <w:vanish/>
        </w:rPr>
      </w:pPr>
      <w:hyperlink r:id="rId28" w:history="1">
        <w:r w:rsidRPr="007F228F">
          <w:rPr>
            <w:rStyle w:val="Hypertextovodkaz"/>
            <w:vanish/>
          </w:rPr>
          <w:t>Sazby daní</w:t>
        </w:r>
      </w:hyperlink>
    </w:p>
    <w:p w:rsidR="007F228F" w:rsidRPr="007F228F" w:rsidRDefault="007F228F" w:rsidP="007F228F">
      <w:pPr>
        <w:rPr>
          <w:vanish/>
        </w:rPr>
      </w:pPr>
      <w:hyperlink r:id="rId29" w:history="1">
        <w:r w:rsidRPr="007F228F">
          <w:rPr>
            <w:rStyle w:val="Hypertextovodkaz"/>
            <w:vanish/>
          </w:rPr>
          <w:t>Daňové příjmy krajů a obcí</w:t>
        </w:r>
      </w:hyperlink>
    </w:p>
    <w:p w:rsidR="007F228F" w:rsidRPr="007F228F" w:rsidRDefault="007F228F" w:rsidP="007F228F">
      <w:pPr>
        <w:rPr>
          <w:vanish/>
        </w:rPr>
      </w:pPr>
      <w:hyperlink r:id="rId30" w:history="1">
        <w:r w:rsidRPr="007F228F">
          <w:rPr>
            <w:rStyle w:val="Hypertextovodkaz"/>
            <w:vanish/>
          </w:rPr>
          <w:t>Ověřování DIČ EU</w:t>
        </w:r>
      </w:hyperlink>
    </w:p>
    <w:p w:rsidR="007F228F" w:rsidRPr="007F228F" w:rsidRDefault="007F228F" w:rsidP="007F228F">
      <w:pPr>
        <w:rPr>
          <w:vanish/>
        </w:rPr>
      </w:pPr>
      <w:hyperlink r:id="rId31" w:history="1">
        <w:r w:rsidRPr="007F228F">
          <w:rPr>
            <w:rStyle w:val="Hypertextovodkaz"/>
            <w:vanish/>
          </w:rPr>
          <w:t>Kurzy ČNB</w:t>
        </w:r>
      </w:hyperlink>
    </w:p>
    <w:p w:rsidR="007F228F" w:rsidRPr="007F228F" w:rsidRDefault="007F228F" w:rsidP="007F228F">
      <w:pPr>
        <w:rPr>
          <w:vanish/>
        </w:rPr>
      </w:pPr>
      <w:hyperlink r:id="rId32" w:history="1">
        <w:r w:rsidRPr="007F228F">
          <w:rPr>
            <w:rStyle w:val="Hypertextovodkaz"/>
            <w:vanish/>
          </w:rPr>
          <w:t>Diskontní sazba</w:t>
        </w:r>
      </w:hyperlink>
    </w:p>
    <w:p w:rsidR="007F228F" w:rsidRPr="007F228F" w:rsidRDefault="007F228F" w:rsidP="007F228F">
      <w:pPr>
        <w:rPr>
          <w:vanish/>
        </w:rPr>
      </w:pPr>
      <w:hyperlink r:id="rId33" w:history="1">
        <w:r w:rsidRPr="007F228F">
          <w:rPr>
            <w:rStyle w:val="Hypertextovodkaz"/>
            <w:vanish/>
          </w:rPr>
          <w:t>Cestovní náhrady</w:t>
        </w:r>
      </w:hyperlink>
    </w:p>
    <w:p w:rsidR="007F228F" w:rsidRPr="007F228F" w:rsidRDefault="007F228F" w:rsidP="007F228F">
      <w:pPr>
        <w:rPr>
          <w:vanish/>
        </w:rPr>
      </w:pPr>
      <w:hyperlink r:id="rId34" w:history="1">
        <w:r w:rsidRPr="007F228F">
          <w:rPr>
            <w:rStyle w:val="Hypertextovodkaz"/>
            <w:vanish/>
          </w:rPr>
          <w:t>Průměrné ceny pohonných hmot</w:t>
        </w:r>
      </w:hyperlink>
    </w:p>
    <w:p w:rsidR="007F228F" w:rsidRPr="007F228F" w:rsidRDefault="007F228F" w:rsidP="007F228F">
      <w:pPr>
        <w:rPr>
          <w:vanish/>
        </w:rPr>
      </w:pPr>
      <w:hyperlink r:id="rId35" w:history="1">
        <w:r w:rsidRPr="007F228F">
          <w:rPr>
            <w:rStyle w:val="Hypertextovodkaz"/>
            <w:vanish/>
          </w:rPr>
          <w:t>Další odkazy Instituce</w:t>
        </w:r>
      </w:hyperlink>
    </w:p>
    <w:p w:rsidR="007F228F" w:rsidRPr="007F228F" w:rsidRDefault="007F228F" w:rsidP="007F228F">
      <w:pPr>
        <w:rPr>
          <w:vanish/>
        </w:rPr>
      </w:pPr>
      <w:hyperlink r:id="rId36" w:history="1">
        <w:r w:rsidRPr="007F228F">
          <w:rPr>
            <w:rStyle w:val="Hypertextovodkaz"/>
            <w:vanish/>
          </w:rPr>
          <w:t>Vzdělávání</w:t>
        </w:r>
      </w:hyperlink>
    </w:p>
    <w:p w:rsidR="007B2774" w:rsidRDefault="007B2774">
      <w:bookmarkStart w:id="0" w:name="_GoBack"/>
      <w:bookmarkEnd w:id="0"/>
    </w:p>
    <w:sectPr w:rsidR="007B2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8F"/>
    <w:rsid w:val="000109B8"/>
    <w:rsid w:val="00012FCB"/>
    <w:rsid w:val="0001318B"/>
    <w:rsid w:val="00017786"/>
    <w:rsid w:val="00023724"/>
    <w:rsid w:val="00025CDB"/>
    <w:rsid w:val="0003272E"/>
    <w:rsid w:val="000412CA"/>
    <w:rsid w:val="00050C60"/>
    <w:rsid w:val="00050F6F"/>
    <w:rsid w:val="0005634A"/>
    <w:rsid w:val="0005756E"/>
    <w:rsid w:val="00061336"/>
    <w:rsid w:val="00063AB5"/>
    <w:rsid w:val="000700A8"/>
    <w:rsid w:val="00072EDA"/>
    <w:rsid w:val="0007354C"/>
    <w:rsid w:val="0007594B"/>
    <w:rsid w:val="00085B8C"/>
    <w:rsid w:val="00087576"/>
    <w:rsid w:val="000B1218"/>
    <w:rsid w:val="000C3855"/>
    <w:rsid w:val="000E64BF"/>
    <w:rsid w:val="0010256B"/>
    <w:rsid w:val="001074AB"/>
    <w:rsid w:val="00122F37"/>
    <w:rsid w:val="001231FB"/>
    <w:rsid w:val="00123577"/>
    <w:rsid w:val="00124338"/>
    <w:rsid w:val="00141234"/>
    <w:rsid w:val="00142531"/>
    <w:rsid w:val="00143672"/>
    <w:rsid w:val="00151DD3"/>
    <w:rsid w:val="00152A8A"/>
    <w:rsid w:val="00160342"/>
    <w:rsid w:val="00166238"/>
    <w:rsid w:val="001875AF"/>
    <w:rsid w:val="00192196"/>
    <w:rsid w:val="001A6D0A"/>
    <w:rsid w:val="001B2346"/>
    <w:rsid w:val="001C1631"/>
    <w:rsid w:val="001C3057"/>
    <w:rsid w:val="001D1B23"/>
    <w:rsid w:val="001D3823"/>
    <w:rsid w:val="001D53AF"/>
    <w:rsid w:val="001E220B"/>
    <w:rsid w:val="001E626A"/>
    <w:rsid w:val="001E7E7C"/>
    <w:rsid w:val="0021289E"/>
    <w:rsid w:val="002204E1"/>
    <w:rsid w:val="002221EE"/>
    <w:rsid w:val="0024745A"/>
    <w:rsid w:val="002528A2"/>
    <w:rsid w:val="002565CC"/>
    <w:rsid w:val="002640BC"/>
    <w:rsid w:val="00280619"/>
    <w:rsid w:val="00284924"/>
    <w:rsid w:val="00285BDF"/>
    <w:rsid w:val="00291291"/>
    <w:rsid w:val="002A1020"/>
    <w:rsid w:val="002A7262"/>
    <w:rsid w:val="002B24BC"/>
    <w:rsid w:val="002B48F3"/>
    <w:rsid w:val="002C16B7"/>
    <w:rsid w:val="002D1435"/>
    <w:rsid w:val="002F3728"/>
    <w:rsid w:val="002F65DA"/>
    <w:rsid w:val="00303FDF"/>
    <w:rsid w:val="00314FF2"/>
    <w:rsid w:val="003373D6"/>
    <w:rsid w:val="00342558"/>
    <w:rsid w:val="003447D9"/>
    <w:rsid w:val="0034572E"/>
    <w:rsid w:val="00351892"/>
    <w:rsid w:val="00357058"/>
    <w:rsid w:val="00361ACD"/>
    <w:rsid w:val="00381145"/>
    <w:rsid w:val="00382CAF"/>
    <w:rsid w:val="00391FF2"/>
    <w:rsid w:val="00392BC5"/>
    <w:rsid w:val="00395A07"/>
    <w:rsid w:val="003A0660"/>
    <w:rsid w:val="003A7E15"/>
    <w:rsid w:val="003B0415"/>
    <w:rsid w:val="003B7834"/>
    <w:rsid w:val="003C0BAD"/>
    <w:rsid w:val="003C5F80"/>
    <w:rsid w:val="003C6150"/>
    <w:rsid w:val="003C6298"/>
    <w:rsid w:val="003E105B"/>
    <w:rsid w:val="003E4588"/>
    <w:rsid w:val="003E5975"/>
    <w:rsid w:val="003E5D15"/>
    <w:rsid w:val="003F08FA"/>
    <w:rsid w:val="003F0F75"/>
    <w:rsid w:val="00407B14"/>
    <w:rsid w:val="0041164E"/>
    <w:rsid w:val="004141FD"/>
    <w:rsid w:val="004231C9"/>
    <w:rsid w:val="00425024"/>
    <w:rsid w:val="00425AB7"/>
    <w:rsid w:val="004265D9"/>
    <w:rsid w:val="00427C4A"/>
    <w:rsid w:val="004311B7"/>
    <w:rsid w:val="00433B86"/>
    <w:rsid w:val="0043413F"/>
    <w:rsid w:val="00436E91"/>
    <w:rsid w:val="00443B72"/>
    <w:rsid w:val="00452A9B"/>
    <w:rsid w:val="00454CDF"/>
    <w:rsid w:val="0045775F"/>
    <w:rsid w:val="00464D8A"/>
    <w:rsid w:val="00493A6F"/>
    <w:rsid w:val="00495ADE"/>
    <w:rsid w:val="004A1504"/>
    <w:rsid w:val="004A6707"/>
    <w:rsid w:val="004B2B28"/>
    <w:rsid w:val="004C17C2"/>
    <w:rsid w:val="004C5360"/>
    <w:rsid w:val="004E2196"/>
    <w:rsid w:val="004E2418"/>
    <w:rsid w:val="004F1624"/>
    <w:rsid w:val="004F3E86"/>
    <w:rsid w:val="004F424F"/>
    <w:rsid w:val="005064B5"/>
    <w:rsid w:val="0051011F"/>
    <w:rsid w:val="00521EE9"/>
    <w:rsid w:val="0052718F"/>
    <w:rsid w:val="00535096"/>
    <w:rsid w:val="0054697D"/>
    <w:rsid w:val="00553231"/>
    <w:rsid w:val="005558FD"/>
    <w:rsid w:val="00556119"/>
    <w:rsid w:val="0055680D"/>
    <w:rsid w:val="00566A1B"/>
    <w:rsid w:val="00573DFA"/>
    <w:rsid w:val="00573F20"/>
    <w:rsid w:val="005740B1"/>
    <w:rsid w:val="00582C3B"/>
    <w:rsid w:val="005A3948"/>
    <w:rsid w:val="005A3EA7"/>
    <w:rsid w:val="005B1B7F"/>
    <w:rsid w:val="005C5414"/>
    <w:rsid w:val="005D3D6C"/>
    <w:rsid w:val="005F01E8"/>
    <w:rsid w:val="005F3134"/>
    <w:rsid w:val="005F662C"/>
    <w:rsid w:val="005F67A0"/>
    <w:rsid w:val="006048B4"/>
    <w:rsid w:val="00613E1F"/>
    <w:rsid w:val="006146F6"/>
    <w:rsid w:val="00616D6F"/>
    <w:rsid w:val="00624EB4"/>
    <w:rsid w:val="00634D48"/>
    <w:rsid w:val="00634DE6"/>
    <w:rsid w:val="0064690F"/>
    <w:rsid w:val="00656628"/>
    <w:rsid w:val="0066137A"/>
    <w:rsid w:val="00670E3F"/>
    <w:rsid w:val="00672318"/>
    <w:rsid w:val="00674F8E"/>
    <w:rsid w:val="006853F3"/>
    <w:rsid w:val="00694540"/>
    <w:rsid w:val="006B317B"/>
    <w:rsid w:val="006B753B"/>
    <w:rsid w:val="006D0884"/>
    <w:rsid w:val="006D36E8"/>
    <w:rsid w:val="006E3656"/>
    <w:rsid w:val="006E71DA"/>
    <w:rsid w:val="006F6A5F"/>
    <w:rsid w:val="00701716"/>
    <w:rsid w:val="00704F70"/>
    <w:rsid w:val="00717FB7"/>
    <w:rsid w:val="00727CAF"/>
    <w:rsid w:val="007303B0"/>
    <w:rsid w:val="00733A53"/>
    <w:rsid w:val="0073641E"/>
    <w:rsid w:val="007446A2"/>
    <w:rsid w:val="00757B15"/>
    <w:rsid w:val="00760956"/>
    <w:rsid w:val="0076167A"/>
    <w:rsid w:val="007672A2"/>
    <w:rsid w:val="00776DE6"/>
    <w:rsid w:val="007777B1"/>
    <w:rsid w:val="00780B8F"/>
    <w:rsid w:val="00783439"/>
    <w:rsid w:val="00793F29"/>
    <w:rsid w:val="0079551F"/>
    <w:rsid w:val="007B2774"/>
    <w:rsid w:val="007C0180"/>
    <w:rsid w:val="007C7695"/>
    <w:rsid w:val="007D0163"/>
    <w:rsid w:val="007D5D8E"/>
    <w:rsid w:val="007E4346"/>
    <w:rsid w:val="007F1DF6"/>
    <w:rsid w:val="007F228F"/>
    <w:rsid w:val="007F646C"/>
    <w:rsid w:val="00800A83"/>
    <w:rsid w:val="00802FF3"/>
    <w:rsid w:val="00805D01"/>
    <w:rsid w:val="00810418"/>
    <w:rsid w:val="00810EFE"/>
    <w:rsid w:val="00812336"/>
    <w:rsid w:val="00820521"/>
    <w:rsid w:val="008267C5"/>
    <w:rsid w:val="00827CBB"/>
    <w:rsid w:val="008312D5"/>
    <w:rsid w:val="008444C2"/>
    <w:rsid w:val="00854A6E"/>
    <w:rsid w:val="0086059C"/>
    <w:rsid w:val="00887D12"/>
    <w:rsid w:val="008930AB"/>
    <w:rsid w:val="008A3F95"/>
    <w:rsid w:val="008A536E"/>
    <w:rsid w:val="008B567C"/>
    <w:rsid w:val="008C3984"/>
    <w:rsid w:val="008D2CCA"/>
    <w:rsid w:val="008D63C4"/>
    <w:rsid w:val="008E465E"/>
    <w:rsid w:val="008F12E0"/>
    <w:rsid w:val="009008AD"/>
    <w:rsid w:val="00903C70"/>
    <w:rsid w:val="00906368"/>
    <w:rsid w:val="009125F4"/>
    <w:rsid w:val="00916B52"/>
    <w:rsid w:val="00920A11"/>
    <w:rsid w:val="00927051"/>
    <w:rsid w:val="00930AD5"/>
    <w:rsid w:val="00941A39"/>
    <w:rsid w:val="00943ABD"/>
    <w:rsid w:val="00944828"/>
    <w:rsid w:val="009506FE"/>
    <w:rsid w:val="009604DB"/>
    <w:rsid w:val="00970282"/>
    <w:rsid w:val="00980D89"/>
    <w:rsid w:val="0098226C"/>
    <w:rsid w:val="0098292F"/>
    <w:rsid w:val="009856E9"/>
    <w:rsid w:val="00995818"/>
    <w:rsid w:val="00996DC2"/>
    <w:rsid w:val="009A4B0F"/>
    <w:rsid w:val="009B42D9"/>
    <w:rsid w:val="009B6367"/>
    <w:rsid w:val="009B779C"/>
    <w:rsid w:val="009C2C74"/>
    <w:rsid w:val="009C355E"/>
    <w:rsid w:val="009D12A4"/>
    <w:rsid w:val="009D775B"/>
    <w:rsid w:val="009E7099"/>
    <w:rsid w:val="009F6A4D"/>
    <w:rsid w:val="00A0525B"/>
    <w:rsid w:val="00A11963"/>
    <w:rsid w:val="00A22CDB"/>
    <w:rsid w:val="00A266C4"/>
    <w:rsid w:val="00A347BF"/>
    <w:rsid w:val="00A50266"/>
    <w:rsid w:val="00A70E70"/>
    <w:rsid w:val="00A71D05"/>
    <w:rsid w:val="00A726F4"/>
    <w:rsid w:val="00A74954"/>
    <w:rsid w:val="00A770F7"/>
    <w:rsid w:val="00A91779"/>
    <w:rsid w:val="00AC4AC0"/>
    <w:rsid w:val="00AD5408"/>
    <w:rsid w:val="00AD5979"/>
    <w:rsid w:val="00AE5A14"/>
    <w:rsid w:val="00AE69A0"/>
    <w:rsid w:val="00AF2D48"/>
    <w:rsid w:val="00AF6C37"/>
    <w:rsid w:val="00B01E7A"/>
    <w:rsid w:val="00B1488C"/>
    <w:rsid w:val="00B23373"/>
    <w:rsid w:val="00B278C7"/>
    <w:rsid w:val="00B351B6"/>
    <w:rsid w:val="00B37521"/>
    <w:rsid w:val="00B5578C"/>
    <w:rsid w:val="00B64042"/>
    <w:rsid w:val="00B64402"/>
    <w:rsid w:val="00B73BA5"/>
    <w:rsid w:val="00B8182A"/>
    <w:rsid w:val="00B91367"/>
    <w:rsid w:val="00BA3E1D"/>
    <w:rsid w:val="00BC573C"/>
    <w:rsid w:val="00BD6E70"/>
    <w:rsid w:val="00BE2516"/>
    <w:rsid w:val="00BF5247"/>
    <w:rsid w:val="00C04C1F"/>
    <w:rsid w:val="00C310C6"/>
    <w:rsid w:val="00C33E3F"/>
    <w:rsid w:val="00C4771D"/>
    <w:rsid w:val="00C57534"/>
    <w:rsid w:val="00C61DCE"/>
    <w:rsid w:val="00C70A9B"/>
    <w:rsid w:val="00C73415"/>
    <w:rsid w:val="00C8439A"/>
    <w:rsid w:val="00C868E6"/>
    <w:rsid w:val="00C90B7F"/>
    <w:rsid w:val="00CB001F"/>
    <w:rsid w:val="00CB1B9E"/>
    <w:rsid w:val="00CB78C3"/>
    <w:rsid w:val="00CB7F32"/>
    <w:rsid w:val="00CC01F5"/>
    <w:rsid w:val="00CC6A82"/>
    <w:rsid w:val="00CD1851"/>
    <w:rsid w:val="00CD2912"/>
    <w:rsid w:val="00CD4A9A"/>
    <w:rsid w:val="00CE465F"/>
    <w:rsid w:val="00D02EBC"/>
    <w:rsid w:val="00D16722"/>
    <w:rsid w:val="00D209E8"/>
    <w:rsid w:val="00D20CBE"/>
    <w:rsid w:val="00D24409"/>
    <w:rsid w:val="00D25625"/>
    <w:rsid w:val="00D30CCD"/>
    <w:rsid w:val="00D36C65"/>
    <w:rsid w:val="00D42EA2"/>
    <w:rsid w:val="00D444CD"/>
    <w:rsid w:val="00D5342F"/>
    <w:rsid w:val="00D62D65"/>
    <w:rsid w:val="00D64B3C"/>
    <w:rsid w:val="00D850FB"/>
    <w:rsid w:val="00D857E5"/>
    <w:rsid w:val="00D859CB"/>
    <w:rsid w:val="00D87234"/>
    <w:rsid w:val="00D93837"/>
    <w:rsid w:val="00D95B9D"/>
    <w:rsid w:val="00D96A26"/>
    <w:rsid w:val="00DA0DCD"/>
    <w:rsid w:val="00DC64FA"/>
    <w:rsid w:val="00DC740C"/>
    <w:rsid w:val="00DD7CAE"/>
    <w:rsid w:val="00DE1916"/>
    <w:rsid w:val="00DE4B82"/>
    <w:rsid w:val="00DE55B6"/>
    <w:rsid w:val="00DF3105"/>
    <w:rsid w:val="00E47287"/>
    <w:rsid w:val="00E51BB0"/>
    <w:rsid w:val="00E6071C"/>
    <w:rsid w:val="00E62BF0"/>
    <w:rsid w:val="00E92B30"/>
    <w:rsid w:val="00ED7A7C"/>
    <w:rsid w:val="00EE4FB7"/>
    <w:rsid w:val="00EF3905"/>
    <w:rsid w:val="00EF72D6"/>
    <w:rsid w:val="00F20134"/>
    <w:rsid w:val="00F21F03"/>
    <w:rsid w:val="00F2719E"/>
    <w:rsid w:val="00F344DD"/>
    <w:rsid w:val="00F37986"/>
    <w:rsid w:val="00F44CB6"/>
    <w:rsid w:val="00F51581"/>
    <w:rsid w:val="00F603FA"/>
    <w:rsid w:val="00F65B1A"/>
    <w:rsid w:val="00F742E5"/>
    <w:rsid w:val="00F924C3"/>
    <w:rsid w:val="00F9749C"/>
    <w:rsid w:val="00FA5457"/>
    <w:rsid w:val="00FB2BCE"/>
    <w:rsid w:val="00FB44FD"/>
    <w:rsid w:val="00FC70A6"/>
    <w:rsid w:val="00FC7715"/>
    <w:rsid w:val="00FF4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F228F"/>
    <w:rPr>
      <w:color w:val="0000FF" w:themeColor="hyperlink"/>
      <w:u w:val="single"/>
    </w:rPr>
  </w:style>
  <w:style w:type="paragraph" w:styleId="Textbubliny">
    <w:name w:val="Balloon Text"/>
    <w:basedOn w:val="Normln"/>
    <w:link w:val="TextbublinyChar"/>
    <w:uiPriority w:val="99"/>
    <w:semiHidden/>
    <w:unhideWhenUsed/>
    <w:rsid w:val="007F228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2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F228F"/>
    <w:rPr>
      <w:color w:val="0000FF" w:themeColor="hyperlink"/>
      <w:u w:val="single"/>
    </w:rPr>
  </w:style>
  <w:style w:type="paragraph" w:styleId="Textbubliny">
    <w:name w:val="Balloon Text"/>
    <w:basedOn w:val="Normln"/>
    <w:link w:val="TextbublinyChar"/>
    <w:uiPriority w:val="99"/>
    <w:semiHidden/>
    <w:unhideWhenUsed/>
    <w:rsid w:val="007F228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2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05001">
      <w:bodyDiv w:val="1"/>
      <w:marLeft w:val="0"/>
      <w:marRight w:val="0"/>
      <w:marTop w:val="0"/>
      <w:marBottom w:val="0"/>
      <w:divBdr>
        <w:top w:val="none" w:sz="0" w:space="0" w:color="auto"/>
        <w:left w:val="none" w:sz="0" w:space="0" w:color="auto"/>
        <w:bottom w:val="none" w:sz="0" w:space="0" w:color="auto"/>
        <w:right w:val="none" w:sz="0" w:space="0" w:color="auto"/>
      </w:divBdr>
      <w:divsChild>
        <w:div w:id="1805149119">
          <w:marLeft w:val="0"/>
          <w:marRight w:val="0"/>
          <w:marTop w:val="0"/>
          <w:marBottom w:val="0"/>
          <w:divBdr>
            <w:top w:val="none" w:sz="0" w:space="0" w:color="auto"/>
            <w:left w:val="none" w:sz="0" w:space="0" w:color="auto"/>
            <w:bottom w:val="none" w:sz="0" w:space="0" w:color="auto"/>
            <w:right w:val="none" w:sz="0" w:space="0" w:color="auto"/>
          </w:divBdr>
          <w:divsChild>
            <w:div w:id="1283340430">
              <w:marLeft w:val="0"/>
              <w:marRight w:val="0"/>
              <w:marTop w:val="0"/>
              <w:marBottom w:val="0"/>
              <w:divBdr>
                <w:top w:val="none" w:sz="0" w:space="0" w:color="auto"/>
                <w:left w:val="none" w:sz="0" w:space="0" w:color="auto"/>
                <w:bottom w:val="none" w:sz="0" w:space="0" w:color="auto"/>
                <w:right w:val="none" w:sz="0" w:space="0" w:color="auto"/>
              </w:divBdr>
              <w:divsChild>
                <w:div w:id="1018969861">
                  <w:marLeft w:val="0"/>
                  <w:marRight w:val="0"/>
                  <w:marTop w:val="0"/>
                  <w:marBottom w:val="0"/>
                  <w:divBdr>
                    <w:top w:val="none" w:sz="0" w:space="0" w:color="auto"/>
                    <w:left w:val="none" w:sz="0" w:space="0" w:color="auto"/>
                    <w:bottom w:val="none" w:sz="0" w:space="0" w:color="auto"/>
                    <w:right w:val="none" w:sz="0" w:space="0" w:color="auto"/>
                  </w:divBdr>
                  <w:divsChild>
                    <w:div w:id="1367947414">
                      <w:marLeft w:val="0"/>
                      <w:marRight w:val="0"/>
                      <w:marTop w:val="0"/>
                      <w:marBottom w:val="0"/>
                      <w:divBdr>
                        <w:top w:val="none" w:sz="0" w:space="0" w:color="auto"/>
                        <w:left w:val="none" w:sz="0" w:space="0" w:color="auto"/>
                        <w:bottom w:val="single" w:sz="6" w:space="0" w:color="CFDBE8"/>
                        <w:right w:val="none" w:sz="0" w:space="0" w:color="auto"/>
                      </w:divBdr>
                      <w:divsChild>
                        <w:div w:id="216819001">
                          <w:marLeft w:val="0"/>
                          <w:marRight w:val="0"/>
                          <w:marTop w:val="0"/>
                          <w:marBottom w:val="0"/>
                          <w:divBdr>
                            <w:top w:val="none" w:sz="0" w:space="0" w:color="auto"/>
                            <w:left w:val="none" w:sz="0" w:space="0" w:color="auto"/>
                            <w:bottom w:val="none" w:sz="0" w:space="0" w:color="auto"/>
                            <w:right w:val="none" w:sz="0" w:space="0" w:color="auto"/>
                          </w:divBdr>
                        </w:div>
                        <w:div w:id="1474247653">
                          <w:marLeft w:val="0"/>
                          <w:marRight w:val="0"/>
                          <w:marTop w:val="0"/>
                          <w:marBottom w:val="0"/>
                          <w:divBdr>
                            <w:top w:val="none" w:sz="0" w:space="0" w:color="auto"/>
                            <w:left w:val="none" w:sz="0" w:space="0" w:color="auto"/>
                            <w:bottom w:val="none" w:sz="0" w:space="0" w:color="auto"/>
                            <w:right w:val="none" w:sz="0" w:space="0" w:color="auto"/>
                          </w:divBdr>
                        </w:div>
                      </w:divsChild>
                    </w:div>
                    <w:div w:id="1758743808">
                      <w:marLeft w:val="0"/>
                      <w:marRight w:val="0"/>
                      <w:marTop w:val="0"/>
                      <w:marBottom w:val="0"/>
                      <w:divBdr>
                        <w:top w:val="none" w:sz="0" w:space="0" w:color="auto"/>
                        <w:left w:val="none" w:sz="0" w:space="0" w:color="auto"/>
                        <w:bottom w:val="none" w:sz="0" w:space="0" w:color="auto"/>
                        <w:right w:val="none" w:sz="0" w:space="0" w:color="auto"/>
                      </w:divBdr>
                    </w:div>
                    <w:div w:id="1470170694">
                      <w:marLeft w:val="0"/>
                      <w:marRight w:val="0"/>
                      <w:marTop w:val="0"/>
                      <w:marBottom w:val="0"/>
                      <w:divBdr>
                        <w:top w:val="none" w:sz="0" w:space="0" w:color="auto"/>
                        <w:left w:val="none" w:sz="0" w:space="0" w:color="auto"/>
                        <w:bottom w:val="none" w:sz="0" w:space="0" w:color="auto"/>
                        <w:right w:val="none" w:sz="0" w:space="0" w:color="auto"/>
                      </w:divBdr>
                      <w:divsChild>
                        <w:div w:id="95104873">
                          <w:marLeft w:val="0"/>
                          <w:marRight w:val="0"/>
                          <w:marTop w:val="0"/>
                          <w:marBottom w:val="0"/>
                          <w:divBdr>
                            <w:top w:val="none" w:sz="0" w:space="0" w:color="auto"/>
                            <w:left w:val="none" w:sz="0" w:space="0" w:color="auto"/>
                            <w:bottom w:val="none" w:sz="0" w:space="0" w:color="auto"/>
                            <w:right w:val="none" w:sz="0" w:space="0" w:color="auto"/>
                          </w:divBdr>
                          <w:divsChild>
                            <w:div w:id="26950727">
                              <w:marLeft w:val="0"/>
                              <w:marRight w:val="0"/>
                              <w:marTop w:val="0"/>
                              <w:marBottom w:val="0"/>
                              <w:divBdr>
                                <w:top w:val="none" w:sz="0" w:space="0" w:color="auto"/>
                                <w:left w:val="none" w:sz="0" w:space="0" w:color="auto"/>
                                <w:bottom w:val="none" w:sz="0" w:space="0" w:color="auto"/>
                                <w:right w:val="none" w:sz="0" w:space="0" w:color="auto"/>
                              </w:divBdr>
                              <w:divsChild>
                                <w:div w:id="670642293">
                                  <w:marLeft w:val="0"/>
                                  <w:marRight w:val="0"/>
                                  <w:marTop w:val="0"/>
                                  <w:marBottom w:val="0"/>
                                  <w:divBdr>
                                    <w:top w:val="none" w:sz="0" w:space="0" w:color="auto"/>
                                    <w:left w:val="none" w:sz="0" w:space="0" w:color="auto"/>
                                    <w:bottom w:val="none" w:sz="0" w:space="0" w:color="auto"/>
                                    <w:right w:val="none" w:sz="0" w:space="0" w:color="auto"/>
                                  </w:divBdr>
                                  <w:divsChild>
                                    <w:div w:id="1130782254">
                                      <w:marLeft w:val="0"/>
                                      <w:marRight w:val="0"/>
                                      <w:marTop w:val="300"/>
                                      <w:marBottom w:val="0"/>
                                      <w:divBdr>
                                        <w:top w:val="single" w:sz="6" w:space="0" w:color="C0C0C0"/>
                                        <w:left w:val="single" w:sz="6" w:space="0" w:color="C0C0C0"/>
                                        <w:bottom w:val="single" w:sz="6" w:space="2" w:color="C0C0C0"/>
                                        <w:right w:val="single" w:sz="6" w:space="0" w:color="C0C0C0"/>
                                      </w:divBdr>
                                    </w:div>
                                  </w:divsChild>
                                </w:div>
                              </w:divsChild>
                            </w:div>
                          </w:divsChild>
                        </w:div>
                      </w:divsChild>
                    </w:div>
                  </w:divsChild>
                </w:div>
              </w:divsChild>
            </w:div>
            <w:div w:id="958223378">
              <w:marLeft w:val="0"/>
              <w:marRight w:val="0"/>
              <w:marTop w:val="0"/>
              <w:marBottom w:val="0"/>
              <w:divBdr>
                <w:top w:val="none" w:sz="0" w:space="0" w:color="auto"/>
                <w:left w:val="none" w:sz="0" w:space="0" w:color="auto"/>
                <w:bottom w:val="none" w:sz="0" w:space="0" w:color="auto"/>
                <w:right w:val="none" w:sz="0" w:space="0" w:color="auto"/>
              </w:divBdr>
              <w:divsChild>
                <w:div w:id="1101996787">
                  <w:marLeft w:val="0"/>
                  <w:marRight w:val="0"/>
                  <w:marTop w:val="0"/>
                  <w:marBottom w:val="0"/>
                  <w:divBdr>
                    <w:top w:val="none" w:sz="0" w:space="0" w:color="auto"/>
                    <w:left w:val="none" w:sz="0" w:space="0" w:color="auto"/>
                    <w:bottom w:val="none" w:sz="0" w:space="0" w:color="auto"/>
                    <w:right w:val="none" w:sz="0" w:space="0" w:color="auto"/>
                  </w:divBdr>
                </w:div>
                <w:div w:id="1324625915">
                  <w:marLeft w:val="0"/>
                  <w:marRight w:val="2640"/>
                  <w:marTop w:val="0"/>
                  <w:marBottom w:val="0"/>
                  <w:divBdr>
                    <w:top w:val="none" w:sz="0" w:space="0" w:color="auto"/>
                    <w:left w:val="none" w:sz="0" w:space="0" w:color="auto"/>
                    <w:bottom w:val="none" w:sz="0" w:space="0" w:color="auto"/>
                    <w:right w:val="none" w:sz="0" w:space="0" w:color="auto"/>
                  </w:divBdr>
                </w:div>
              </w:divsChild>
            </w:div>
            <w:div w:id="1721242424">
              <w:marLeft w:val="0"/>
              <w:marRight w:val="0"/>
              <w:marTop w:val="0"/>
              <w:marBottom w:val="0"/>
              <w:divBdr>
                <w:top w:val="none" w:sz="0" w:space="0" w:color="auto"/>
                <w:left w:val="none" w:sz="0" w:space="0" w:color="auto"/>
                <w:bottom w:val="none" w:sz="0" w:space="0" w:color="auto"/>
                <w:right w:val="none" w:sz="0" w:space="0" w:color="auto"/>
              </w:divBdr>
              <w:divsChild>
                <w:div w:id="814251570">
                  <w:marLeft w:val="0"/>
                  <w:marRight w:val="0"/>
                  <w:marTop w:val="0"/>
                  <w:marBottom w:val="0"/>
                  <w:divBdr>
                    <w:top w:val="none" w:sz="0" w:space="0" w:color="auto"/>
                    <w:left w:val="none" w:sz="0" w:space="0" w:color="auto"/>
                    <w:bottom w:val="none" w:sz="0" w:space="0" w:color="auto"/>
                    <w:right w:val="none" w:sz="0" w:space="0" w:color="auto"/>
                  </w:divBdr>
                  <w:divsChild>
                    <w:div w:id="1319730337">
                      <w:marLeft w:val="0"/>
                      <w:marRight w:val="0"/>
                      <w:marTop w:val="0"/>
                      <w:marBottom w:val="0"/>
                      <w:divBdr>
                        <w:top w:val="none" w:sz="0" w:space="0" w:color="auto"/>
                        <w:left w:val="none" w:sz="0" w:space="0" w:color="auto"/>
                        <w:bottom w:val="none" w:sz="0" w:space="0" w:color="auto"/>
                        <w:right w:val="none" w:sz="0" w:space="0" w:color="auto"/>
                      </w:divBdr>
                    </w:div>
                    <w:div w:id="1654874540">
                      <w:marLeft w:val="0"/>
                      <w:marRight w:val="0"/>
                      <w:marTop w:val="0"/>
                      <w:marBottom w:val="0"/>
                      <w:divBdr>
                        <w:top w:val="none" w:sz="0" w:space="0" w:color="auto"/>
                        <w:left w:val="none" w:sz="0" w:space="0" w:color="auto"/>
                        <w:bottom w:val="none" w:sz="0" w:space="0" w:color="auto"/>
                        <w:right w:val="none" w:sz="0" w:space="0" w:color="auto"/>
                      </w:divBdr>
                    </w:div>
                    <w:div w:id="773357345">
                      <w:marLeft w:val="0"/>
                      <w:marRight w:val="0"/>
                      <w:marTop w:val="0"/>
                      <w:marBottom w:val="0"/>
                      <w:divBdr>
                        <w:top w:val="none" w:sz="0" w:space="0" w:color="auto"/>
                        <w:left w:val="none" w:sz="0" w:space="0" w:color="auto"/>
                        <w:bottom w:val="none" w:sz="0" w:space="0" w:color="auto"/>
                        <w:right w:val="none" w:sz="0" w:space="0" w:color="auto"/>
                      </w:divBdr>
                    </w:div>
                    <w:div w:id="1216166088">
                      <w:marLeft w:val="0"/>
                      <w:marRight w:val="0"/>
                      <w:marTop w:val="0"/>
                      <w:marBottom w:val="0"/>
                      <w:divBdr>
                        <w:top w:val="none" w:sz="0" w:space="0" w:color="auto"/>
                        <w:left w:val="none" w:sz="0" w:space="0" w:color="auto"/>
                        <w:bottom w:val="none" w:sz="0" w:space="0" w:color="auto"/>
                        <w:right w:val="none" w:sz="0" w:space="0" w:color="auto"/>
                      </w:divBdr>
                    </w:div>
                    <w:div w:id="2038192677">
                      <w:marLeft w:val="0"/>
                      <w:marRight w:val="0"/>
                      <w:marTop w:val="0"/>
                      <w:marBottom w:val="0"/>
                      <w:divBdr>
                        <w:top w:val="none" w:sz="0" w:space="0" w:color="auto"/>
                        <w:left w:val="none" w:sz="0" w:space="0" w:color="auto"/>
                        <w:bottom w:val="none" w:sz="0" w:space="0" w:color="auto"/>
                        <w:right w:val="none" w:sz="0" w:space="0" w:color="auto"/>
                      </w:divBdr>
                    </w:div>
                    <w:div w:id="1333875432">
                      <w:marLeft w:val="0"/>
                      <w:marRight w:val="0"/>
                      <w:marTop w:val="0"/>
                      <w:marBottom w:val="0"/>
                      <w:divBdr>
                        <w:top w:val="none" w:sz="0" w:space="0" w:color="auto"/>
                        <w:left w:val="none" w:sz="0" w:space="0" w:color="auto"/>
                        <w:bottom w:val="none" w:sz="0" w:space="0" w:color="auto"/>
                        <w:right w:val="none" w:sz="0" w:space="0" w:color="auto"/>
                      </w:divBdr>
                    </w:div>
                    <w:div w:id="512499258">
                      <w:marLeft w:val="0"/>
                      <w:marRight w:val="0"/>
                      <w:marTop w:val="0"/>
                      <w:marBottom w:val="0"/>
                      <w:divBdr>
                        <w:top w:val="none" w:sz="0" w:space="0" w:color="auto"/>
                        <w:left w:val="none" w:sz="0" w:space="0" w:color="auto"/>
                        <w:bottom w:val="none" w:sz="0" w:space="0" w:color="auto"/>
                        <w:right w:val="none" w:sz="0" w:space="0" w:color="auto"/>
                      </w:divBdr>
                    </w:div>
                    <w:div w:id="867911306">
                      <w:marLeft w:val="0"/>
                      <w:marRight w:val="0"/>
                      <w:marTop w:val="0"/>
                      <w:marBottom w:val="0"/>
                      <w:divBdr>
                        <w:top w:val="none" w:sz="0" w:space="0" w:color="auto"/>
                        <w:left w:val="none" w:sz="0" w:space="0" w:color="auto"/>
                        <w:bottom w:val="none" w:sz="0" w:space="0" w:color="auto"/>
                        <w:right w:val="none" w:sz="0" w:space="0" w:color="auto"/>
                      </w:divBdr>
                    </w:div>
                    <w:div w:id="1169100755">
                      <w:marLeft w:val="0"/>
                      <w:marRight w:val="0"/>
                      <w:marTop w:val="0"/>
                      <w:marBottom w:val="0"/>
                      <w:divBdr>
                        <w:top w:val="none" w:sz="0" w:space="0" w:color="auto"/>
                        <w:left w:val="none" w:sz="0" w:space="0" w:color="auto"/>
                        <w:bottom w:val="none" w:sz="0" w:space="0" w:color="auto"/>
                        <w:right w:val="none" w:sz="0" w:space="0" w:color="auto"/>
                      </w:divBdr>
                    </w:div>
                    <w:div w:id="633946859">
                      <w:marLeft w:val="0"/>
                      <w:marRight w:val="0"/>
                      <w:marTop w:val="0"/>
                      <w:marBottom w:val="0"/>
                      <w:divBdr>
                        <w:top w:val="none" w:sz="0" w:space="0" w:color="auto"/>
                        <w:left w:val="none" w:sz="0" w:space="0" w:color="auto"/>
                        <w:bottom w:val="none" w:sz="0" w:space="0" w:color="auto"/>
                        <w:right w:val="none" w:sz="0" w:space="0" w:color="auto"/>
                      </w:divBdr>
                    </w:div>
                    <w:div w:id="1299914515">
                      <w:marLeft w:val="0"/>
                      <w:marRight w:val="0"/>
                      <w:marTop w:val="0"/>
                      <w:marBottom w:val="0"/>
                      <w:divBdr>
                        <w:top w:val="none" w:sz="0" w:space="0" w:color="auto"/>
                        <w:left w:val="none" w:sz="0" w:space="0" w:color="auto"/>
                        <w:bottom w:val="none" w:sz="0" w:space="0" w:color="auto"/>
                        <w:right w:val="none" w:sz="0" w:space="0" w:color="auto"/>
                      </w:divBdr>
                    </w:div>
                    <w:div w:id="981881904">
                      <w:marLeft w:val="0"/>
                      <w:marRight w:val="0"/>
                      <w:marTop w:val="0"/>
                      <w:marBottom w:val="0"/>
                      <w:divBdr>
                        <w:top w:val="none" w:sz="0" w:space="0" w:color="auto"/>
                        <w:left w:val="none" w:sz="0" w:space="0" w:color="auto"/>
                        <w:bottom w:val="none" w:sz="0" w:space="0" w:color="auto"/>
                        <w:right w:val="none" w:sz="0" w:space="0" w:color="auto"/>
                      </w:divBdr>
                    </w:div>
                    <w:div w:id="16545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s.mfcr.cz/sys/cds/scripts/tiskopisy/tiskopisy-pdf2013/5111_1.pdf" TargetMode="External"/><Relationship Id="rId13" Type="http://schemas.openxmlformats.org/officeDocument/2006/relationships/image" Target="media/image3.wmf"/><Relationship Id="rId18" Type="http://schemas.openxmlformats.org/officeDocument/2006/relationships/hyperlink" Target="http://cds.mfcr.cz/cps/rde/xchg/cds/xsl/financni_sprava_5794.html?year=0" TargetMode="External"/><Relationship Id="rId26" Type="http://schemas.openxmlformats.org/officeDocument/2006/relationships/hyperlink" Target="http://cds.mfcr.cz/cps/rde/xchg/cds/xsl/dane_poplatky_4523.html?year=0" TargetMode="External"/><Relationship Id="rId3" Type="http://schemas.openxmlformats.org/officeDocument/2006/relationships/settings" Target="settings.xml"/><Relationship Id="rId21" Type="http://schemas.openxmlformats.org/officeDocument/2006/relationships/hyperlink" Target="mailto:web@fs.mfcr.cz" TargetMode="External"/><Relationship Id="rId34" Type="http://schemas.openxmlformats.org/officeDocument/2006/relationships/hyperlink" Target="http://cds.mfcr.cz/cps/rde/xchg/cds/xsl/legislativa_metodika_10290.html?year=0" TargetMode="External"/><Relationship Id="rId7" Type="http://schemas.openxmlformats.org/officeDocument/2006/relationships/hyperlink" Target="http://www.financnisprava.cz" TargetMode="External"/><Relationship Id="rId12" Type="http://schemas.openxmlformats.org/officeDocument/2006/relationships/control" Target="activeX/activeX2.xml"/><Relationship Id="rId17" Type="http://schemas.openxmlformats.org/officeDocument/2006/relationships/hyperlink" Target="http://cds.mfcr.cz/cps/rde/xchg/cds/xsl/financni_sprava_6633.html?year=0" TargetMode="External"/><Relationship Id="rId25" Type="http://schemas.openxmlformats.org/officeDocument/2006/relationships/hyperlink" Target="http://cds.mfcr.cz/cps/rde/xchg/cds/xsl/6625.html?year=0" TargetMode="External"/><Relationship Id="rId33" Type="http://schemas.openxmlformats.org/officeDocument/2006/relationships/hyperlink" Target="http://cds.mfcr.cz/cps/rde/xchg/cds/xsl/316.html?year=0"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ontrol" Target="activeX/activeX5.xml"/><Relationship Id="rId20" Type="http://schemas.openxmlformats.org/officeDocument/2006/relationships/hyperlink" Target="mailto:podatelna7000@fs.mfcr.cz" TargetMode="External"/><Relationship Id="rId29" Type="http://schemas.openxmlformats.org/officeDocument/2006/relationships/hyperlink" Target="http://cds.mfcr.cz/cps/rde/xchg/cds/xsl/282.html?year=0"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ontrol" Target="activeX/activeX1.xml"/><Relationship Id="rId24" Type="http://schemas.openxmlformats.org/officeDocument/2006/relationships/hyperlink" Target="http://cds.mfcr.cz/cps/rde/xchg/cds/xsl/financni_urady.html?year=0" TargetMode="External"/><Relationship Id="rId32" Type="http://schemas.openxmlformats.org/officeDocument/2006/relationships/hyperlink" Target="http://cds.mfcr.cz/cps/rde/xchg/cds/xsl/financni_sprava_4520.html?year=0" TargetMode="External"/><Relationship Id="rId37" Type="http://schemas.openxmlformats.org/officeDocument/2006/relationships/fontTable" Target="fontTable.xml"/><Relationship Id="rId5" Type="http://schemas.openxmlformats.org/officeDocument/2006/relationships/hyperlink" Target="http://www.daneelektronicky.cz" TargetMode="External"/><Relationship Id="rId15" Type="http://schemas.openxmlformats.org/officeDocument/2006/relationships/control" Target="activeX/activeX4.xml"/><Relationship Id="rId23" Type="http://schemas.openxmlformats.org/officeDocument/2006/relationships/image" Target="media/image4.png"/><Relationship Id="rId28" Type="http://schemas.openxmlformats.org/officeDocument/2006/relationships/hyperlink" Target="http://cds.mfcr.cz/cps/rde/xchg/cds/xsl/284.html?year=0" TargetMode="External"/><Relationship Id="rId36" Type="http://schemas.openxmlformats.org/officeDocument/2006/relationships/hyperlink" Target="http://cds.mfcr.cz/cps/rde/xchg/cds/xsl/taxtest.html?year=0" TargetMode="External"/><Relationship Id="rId10" Type="http://schemas.openxmlformats.org/officeDocument/2006/relationships/image" Target="media/image2.wmf"/><Relationship Id="rId19" Type="http://schemas.openxmlformats.org/officeDocument/2006/relationships/hyperlink" Target="http://cds.mfcr.cz/cps/rde/xchg/cds/xsl/financni_sprava_5322.html?year=0" TargetMode="External"/><Relationship Id="rId31" Type="http://schemas.openxmlformats.org/officeDocument/2006/relationships/hyperlink" Target="http://cds.mfcr.cz/cps/rde/xchg/cds/xsl/financni_sprava_4591.html?year=0" TargetMode="External"/><Relationship Id="rId4" Type="http://schemas.openxmlformats.org/officeDocument/2006/relationships/webSettings" Target="webSettings.xml"/><Relationship Id="rId9" Type="http://schemas.openxmlformats.org/officeDocument/2006/relationships/hyperlink" Target="http://www.financnisprava.cz" TargetMode="External"/><Relationship Id="rId14" Type="http://schemas.openxmlformats.org/officeDocument/2006/relationships/control" Target="activeX/activeX3.xml"/><Relationship Id="rId22" Type="http://schemas.openxmlformats.org/officeDocument/2006/relationships/hyperlink" Target="http://creativecommons.org/licenses/by-nc-nd/3.0/cz" TargetMode="External"/><Relationship Id="rId27" Type="http://schemas.openxmlformats.org/officeDocument/2006/relationships/hyperlink" Target="http://cds.mfcr.cz/cps/rde/xchg/cds/xsl/financni_sprava_4522.html?year=0" TargetMode="External"/><Relationship Id="rId30" Type="http://schemas.openxmlformats.org/officeDocument/2006/relationships/hyperlink" Target="http://cds.mfcr.cz/cps/rde/xchg/cds/xsl/overovani_DIC_EU.html?year=0" TargetMode="External"/><Relationship Id="rId35" Type="http://schemas.openxmlformats.org/officeDocument/2006/relationships/hyperlink" Target="http://cds.mfcr.cz/cps/rde/xchg/cds/xsl/dalsi_odkazy.html?year=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6271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svaz</dc:creator>
  <cp:lastModifiedBy>svaz</cp:lastModifiedBy>
  <cp:revision>1</cp:revision>
  <dcterms:created xsi:type="dcterms:W3CDTF">2013-01-24T10:58:00Z</dcterms:created>
  <dcterms:modified xsi:type="dcterms:W3CDTF">2013-01-24T10:59:00Z</dcterms:modified>
</cp:coreProperties>
</file>