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00" w:rsidRDefault="00367D00" w:rsidP="00367D00">
      <w:pPr>
        <w:jc w:val="center"/>
        <w:rPr>
          <w:b/>
          <w:u w:val="single"/>
        </w:rPr>
      </w:pPr>
      <w:r>
        <w:rPr>
          <w:b/>
          <w:u w:val="single"/>
        </w:rPr>
        <w:t>Poměrný odpoč</w:t>
      </w:r>
      <w:r w:rsidR="00523D4E">
        <w:rPr>
          <w:b/>
          <w:u w:val="single"/>
        </w:rPr>
        <w:t>et</w:t>
      </w:r>
      <w:r>
        <w:rPr>
          <w:b/>
          <w:u w:val="single"/>
        </w:rPr>
        <w:t xml:space="preserve"> DPH v bytovém družstvu</w:t>
      </w:r>
    </w:p>
    <w:p w:rsidR="007B2774" w:rsidRDefault="00367D00">
      <w:r>
        <w:t xml:space="preserve">Podle § 75 ZDPH použije-li plátce přijaté zdanitelné plnění jak v rámci svých ekonomických činností, tak pro účely s nimi nesouvisejícími, má nárok na </w:t>
      </w:r>
      <w:r w:rsidRPr="00367D00">
        <w:rPr>
          <w:b/>
        </w:rPr>
        <w:t>odpočet daně v poměrné výši</w:t>
      </w:r>
      <w:r>
        <w:t xml:space="preserve"> odpovídající rozsahu použití pro své ekonomické činnosti (EČ). Příslušná výše odpočtu daně se pak vypočte jako součin daně na vstupu u přijatého zdanitelného plnění</w:t>
      </w:r>
      <w:r w:rsidR="00FB3339">
        <w:t xml:space="preserve"> a podílu použití tohoto plnění pro EČ.</w:t>
      </w:r>
    </w:p>
    <w:p w:rsidR="00FB3339" w:rsidRDefault="00FB3339">
      <w:r>
        <w:t xml:space="preserve">ZDPH přesný způsob výpočtu poměrného koeficientu neupravuje, vždy je nutné vycházet z konkrétních podmínek a v závislosti na nich zvolit </w:t>
      </w:r>
      <w:r w:rsidR="00DB11D6">
        <w:t>vhodnou</w:t>
      </w:r>
      <w:r>
        <w:t xml:space="preserve"> metodu výpočtu:</w:t>
      </w:r>
    </w:p>
    <w:p w:rsidR="00FB3339" w:rsidRDefault="00FB3339">
      <w:r>
        <w:t>- využití daného majetku podle zvláštních záznamů – např. knihy jízd firemního auta</w:t>
      </w:r>
      <w:r w:rsidR="00DB11D6">
        <w:t xml:space="preserve"> používaného i pro soukromou potřebu zaměstnance</w:t>
      </w:r>
      <w:r>
        <w:t xml:space="preserve"> nebo záznam o časovém využití majetku,</w:t>
      </w:r>
      <w:r w:rsidR="00DB11D6">
        <w:t xml:space="preserve"> který je plátcem používán i pro soukromou potřebu,</w:t>
      </w:r>
    </w:p>
    <w:p w:rsidR="00FB3339" w:rsidRDefault="00FB3339">
      <w:r>
        <w:t xml:space="preserve">- rozsah, v jakém je </w:t>
      </w:r>
      <w:r w:rsidR="00DB11D6">
        <w:t>budova</w:t>
      </w:r>
      <w:r>
        <w:t xml:space="preserve"> využíván</w:t>
      </w:r>
      <w:r w:rsidR="00DB11D6">
        <w:t>a pro EČ plátce – např.</w:t>
      </w:r>
      <w:r>
        <w:t xml:space="preserve"> podíl </w:t>
      </w:r>
      <w:r w:rsidR="00DB11D6">
        <w:t>podlahové plochy místností</w:t>
      </w:r>
      <w:r>
        <w:t>,</w:t>
      </w:r>
    </w:p>
    <w:p w:rsidR="001B0269" w:rsidRDefault="00FB3339">
      <w:r>
        <w:t xml:space="preserve">- podíl </w:t>
      </w:r>
      <w:r w:rsidR="001B0269">
        <w:t xml:space="preserve">hodnoty plnění </w:t>
      </w:r>
      <w:r>
        <w:t xml:space="preserve">uskutečněných </w:t>
      </w:r>
      <w:r w:rsidR="001B0269">
        <w:t>v rámci EČ na celkové hodnotě všech poskytnutých plnění.</w:t>
      </w:r>
    </w:p>
    <w:p w:rsidR="00FB3339" w:rsidRDefault="00FB3339">
      <w:r>
        <w:t>V podmínkách bytového družstva</w:t>
      </w:r>
      <w:r w:rsidR="001B0269">
        <w:t xml:space="preserve"> se mohou využívat všechny uvedené postupy</w:t>
      </w:r>
      <w:r w:rsidR="00DB11D6">
        <w:t>;</w:t>
      </w:r>
      <w:r w:rsidR="001B0269">
        <w:t xml:space="preserve"> protože nejproblematičtější je </w:t>
      </w:r>
      <w:r w:rsidR="00DB11D6">
        <w:t xml:space="preserve">zřejmě </w:t>
      </w:r>
      <w:r w:rsidR="001B0269">
        <w:t>poslední z nich, bude se tato informace věnovat jemu.</w:t>
      </w:r>
    </w:p>
    <w:p w:rsidR="001F6C6A" w:rsidRDefault="001B0269">
      <w:r>
        <w:t xml:space="preserve">Jednoznačný postup stanovení výpočtu nároku na </w:t>
      </w:r>
      <w:r w:rsidRPr="001F6C6A">
        <w:rPr>
          <w:b/>
        </w:rPr>
        <w:t>odpočet daně v krácené výši</w:t>
      </w:r>
      <w:r>
        <w:t xml:space="preserve"> podle § 76 ZDPH</w:t>
      </w:r>
      <w:r w:rsidR="00DB11D6">
        <w:t xml:space="preserve"> (podíl plnění osvobozených od daně na všech plněních poskytovaných v rámci EČ)</w:t>
      </w:r>
      <w:r>
        <w:t xml:space="preserve"> svádí využít jej analogicky i při výpočtu poměrného koeficientu stanoveného podle výnosů (hodnoty poskytnutých plnění). To </w:t>
      </w:r>
      <w:r w:rsidR="00DB11D6">
        <w:t>ale</w:t>
      </w:r>
      <w:r>
        <w:t xml:space="preserve"> není správné, protože do poměrného koeficientu se musejí zahrnout i ta plnění, která se do</w:t>
      </w:r>
      <w:r w:rsidR="001F6C6A">
        <w:t xml:space="preserve"> koeficientu pro krácený odpočet nezapočítávají - prodej dlouhodobého majetku a poskytnutí finančních služeb a převod nebo nájem pozemků, staveb, bytů a nebytových prostor, </w:t>
      </w:r>
      <w:r w:rsidR="002D566B">
        <w:t>ať už jsou nebo nejsou</w:t>
      </w:r>
      <w:r w:rsidR="001F6C6A">
        <w:t xml:space="preserve"> doplňkovou činností uskutečňovanou příležitostně.</w:t>
      </w:r>
    </w:p>
    <w:p w:rsidR="002D566B" w:rsidRDefault="001F6C6A">
      <w:r>
        <w:t>Na druhé straně</w:t>
      </w:r>
      <w:r w:rsidR="002D566B">
        <w:t xml:space="preserve"> do obou koeficientů shodně se </w:t>
      </w:r>
      <w:r w:rsidR="002D566B" w:rsidRPr="002D566B">
        <w:rPr>
          <w:b/>
        </w:rPr>
        <w:t>nezahrnují platby</w:t>
      </w:r>
      <w:r w:rsidR="00664D58">
        <w:rPr>
          <w:b/>
        </w:rPr>
        <w:t xml:space="preserve"> (zálohy)</w:t>
      </w:r>
      <w:r w:rsidR="002D566B" w:rsidRPr="002D566B">
        <w:rPr>
          <w:b/>
        </w:rPr>
        <w:t xml:space="preserve"> </w:t>
      </w:r>
      <w:r w:rsidR="00664D58">
        <w:rPr>
          <w:b/>
        </w:rPr>
        <w:t xml:space="preserve">přijaté </w:t>
      </w:r>
      <w:r w:rsidR="002D566B" w:rsidRPr="002D566B">
        <w:rPr>
          <w:b/>
        </w:rPr>
        <w:t>před uskutečněním plnění</w:t>
      </w:r>
      <w:r w:rsidR="002D566B">
        <w:t xml:space="preserve"> (zdanitelného, osvobozeného nebo plnění mimo EČ) – výpočet vychází pouze </w:t>
      </w:r>
      <w:r w:rsidR="002D566B" w:rsidRPr="002D566B">
        <w:rPr>
          <w:b/>
        </w:rPr>
        <w:t xml:space="preserve">z hodnot </w:t>
      </w:r>
      <w:r w:rsidR="002D566B">
        <w:rPr>
          <w:b/>
        </w:rPr>
        <w:t xml:space="preserve">již </w:t>
      </w:r>
      <w:r w:rsidR="002D566B" w:rsidRPr="002D566B">
        <w:rPr>
          <w:b/>
        </w:rPr>
        <w:t>uskutečněných plnění</w:t>
      </w:r>
      <w:r w:rsidR="002D566B">
        <w:rPr>
          <w:b/>
        </w:rPr>
        <w:t xml:space="preserve">, </w:t>
      </w:r>
      <w:r w:rsidR="002D566B" w:rsidRPr="00B83473">
        <w:rPr>
          <w:b/>
        </w:rPr>
        <w:t xml:space="preserve">ani výnosy, které nebyly </w:t>
      </w:r>
      <w:r w:rsidR="00DB11D6">
        <w:rPr>
          <w:b/>
        </w:rPr>
        <w:t xml:space="preserve">plátcem </w:t>
      </w:r>
      <w:r w:rsidR="002D566B" w:rsidRPr="00B83473">
        <w:rPr>
          <w:b/>
        </w:rPr>
        <w:t xml:space="preserve">přijaty za </w:t>
      </w:r>
      <w:r w:rsidR="00DB11D6">
        <w:rPr>
          <w:b/>
        </w:rPr>
        <w:t xml:space="preserve">jím </w:t>
      </w:r>
      <w:r w:rsidR="002D566B" w:rsidRPr="00B83473">
        <w:rPr>
          <w:b/>
        </w:rPr>
        <w:t>poskytnuté plnění</w:t>
      </w:r>
      <w:r w:rsidR="002D566B">
        <w:t xml:space="preserve"> – bankovní úroky, přijaté sankce</w:t>
      </w:r>
      <w:r w:rsidR="00BC76FA">
        <w:t xml:space="preserve"> vč. poplatků a úrok</w:t>
      </w:r>
      <w:r w:rsidR="00DB11D6">
        <w:t>ů</w:t>
      </w:r>
      <w:r w:rsidR="00BC76FA">
        <w:t xml:space="preserve"> z prodlení</w:t>
      </w:r>
      <w:r w:rsidR="002D566B">
        <w:t>, dotace, finanční náhrady</w:t>
      </w:r>
      <w:r w:rsidR="00B83473">
        <w:t>, pojistná plnění, bonifikace</w:t>
      </w:r>
      <w:r w:rsidR="00664D58">
        <w:t xml:space="preserve"> od pojišťovny</w:t>
      </w:r>
      <w:r w:rsidR="00B83473">
        <w:t xml:space="preserve"> aj.).</w:t>
      </w:r>
    </w:p>
    <w:p w:rsidR="002D566B" w:rsidRDefault="002D566B">
      <w:pPr>
        <w:rPr>
          <w:b/>
          <w:bdr w:val="single" w:sz="4" w:space="0" w:color="auto"/>
        </w:rPr>
      </w:pPr>
      <w:r w:rsidRPr="00B83473">
        <w:rPr>
          <w:b/>
          <w:bdr w:val="single" w:sz="4" w:space="0" w:color="auto"/>
        </w:rPr>
        <w:t>Příklad:</w:t>
      </w:r>
    </w:p>
    <w:p w:rsidR="00B83473" w:rsidRPr="009E6AE2" w:rsidRDefault="00CF7465">
      <w:pPr>
        <w:rPr>
          <w:b/>
          <w:bdr w:val="single" w:sz="4" w:space="0" w:color="auto"/>
        </w:rPr>
      </w:pPr>
      <w:r w:rsidRPr="009E6AE2">
        <w:rPr>
          <w:b/>
          <w:bdr w:val="single" w:sz="4" w:space="0" w:color="auto"/>
        </w:rPr>
        <w:t xml:space="preserve">Varianta A – koeficient </w:t>
      </w:r>
      <w:r w:rsidR="00DB11D6">
        <w:rPr>
          <w:b/>
          <w:bdr w:val="single" w:sz="4" w:space="0" w:color="auto"/>
        </w:rPr>
        <w:t xml:space="preserve">stanovený </w:t>
      </w:r>
      <w:r w:rsidRPr="009E6AE2">
        <w:rPr>
          <w:b/>
          <w:bdr w:val="single" w:sz="4" w:space="0" w:color="auto"/>
        </w:rPr>
        <w:t>ze všech</w:t>
      </w:r>
      <w:r w:rsidR="00C57CF0">
        <w:rPr>
          <w:b/>
          <w:bdr w:val="single" w:sz="4" w:space="0" w:color="auto"/>
        </w:rPr>
        <w:t xml:space="preserve"> poskytnutých</w:t>
      </w:r>
      <w:r w:rsidRPr="009E6AE2">
        <w:rPr>
          <w:b/>
          <w:bdr w:val="single" w:sz="4" w:space="0" w:color="auto"/>
        </w:rPr>
        <w:t xml:space="preserve"> plnění </w:t>
      </w:r>
    </w:p>
    <w:p w:rsidR="00CF7465" w:rsidRDefault="00BA0ABE">
      <w:r>
        <w:rPr>
          <w:b/>
        </w:rPr>
        <w:t>R</w:t>
      </w:r>
      <w:r w:rsidR="00CF7465">
        <w:rPr>
          <w:b/>
        </w:rPr>
        <w:t xml:space="preserve">oční </w:t>
      </w:r>
      <w:r w:rsidR="00634100">
        <w:rPr>
          <w:b/>
        </w:rPr>
        <w:t xml:space="preserve">objem </w:t>
      </w:r>
      <w:r w:rsidR="00CF7465" w:rsidRPr="00CF7465">
        <w:rPr>
          <w:b/>
        </w:rPr>
        <w:t>zdaniteln</w:t>
      </w:r>
      <w:r w:rsidR="00634100">
        <w:rPr>
          <w:b/>
        </w:rPr>
        <w:t>ých</w:t>
      </w:r>
      <w:r w:rsidR="00CF7465" w:rsidRPr="00CF7465">
        <w:rPr>
          <w:b/>
        </w:rPr>
        <w:t xml:space="preserve"> plnění</w:t>
      </w:r>
      <w:r w:rsidR="00CF7465">
        <w:rPr>
          <w:b/>
        </w:rPr>
        <w:t xml:space="preserve"> celkem </w:t>
      </w:r>
      <w:r w:rsidR="00CF7465">
        <w:t>= 13 </w:t>
      </w:r>
      <w:r w:rsidR="00A83A26">
        <w:t>692</w:t>
      </w:r>
      <w:r w:rsidR="00CF7465">
        <w:t xml:space="preserve"> tis. Kč</w:t>
      </w:r>
      <w:r w:rsidR="002D6B90">
        <w:t xml:space="preserve"> (čitatel i jmenovatel)</w:t>
      </w:r>
      <w:r>
        <w:t>:</w:t>
      </w:r>
    </w:p>
    <w:p w:rsidR="00CF7465" w:rsidRDefault="00CF7465" w:rsidP="00CF7465">
      <w:pPr>
        <w:pStyle w:val="Odstavecseseznamem"/>
        <w:numPr>
          <w:ilvl w:val="0"/>
          <w:numId w:val="2"/>
        </w:numPr>
      </w:pPr>
      <w:r>
        <w:t>odměna za správu zajišťovanou pro SVJ</w:t>
      </w:r>
      <w:r w:rsidR="00BC76FA">
        <w:t xml:space="preserve"> (smluvní cena)</w:t>
      </w:r>
    </w:p>
    <w:p w:rsidR="00CF7465" w:rsidRDefault="00CF7465" w:rsidP="00CF7465">
      <w:pPr>
        <w:pStyle w:val="Odstavecseseznamem"/>
        <w:numPr>
          <w:ilvl w:val="0"/>
          <w:numId w:val="2"/>
        </w:numPr>
      </w:pPr>
      <w:r>
        <w:t xml:space="preserve">odměna za správu zajišťovanou </w:t>
      </w:r>
      <w:r w:rsidR="003C4D2C">
        <w:t xml:space="preserve">pro vlastníky jednotek </w:t>
      </w:r>
      <w:r w:rsidR="00634100">
        <w:t>v rámci EČ</w:t>
      </w:r>
      <w:r w:rsidR="00D775E3">
        <w:rPr>
          <w:rStyle w:val="Znakapoznpodarou"/>
        </w:rPr>
        <w:footnoteReference w:id="1"/>
      </w:r>
      <w:r>
        <w:t xml:space="preserve"> (poplatek na správu</w:t>
      </w:r>
      <w:r w:rsidR="002E0AF6">
        <w:t xml:space="preserve"> ve výši předpisu a čerpání zálohového příspěvku vlastníka jednotky na správu společných částí domu ve výši</w:t>
      </w:r>
      <w:r>
        <w:t xml:space="preserve"> </w:t>
      </w:r>
      <w:r w:rsidR="002E0AF6">
        <w:t xml:space="preserve">příslušných nákladů, např. </w:t>
      </w:r>
      <w:r>
        <w:t>odměn</w:t>
      </w:r>
      <w:r w:rsidR="002E0AF6">
        <w:t>a</w:t>
      </w:r>
      <w:r>
        <w:t xml:space="preserve"> výboru samosprávy, údržba a opravy zajišťované zaměstnancem BD</w:t>
      </w:r>
      <w:r w:rsidR="00371ADE">
        <w:t>, tj</w:t>
      </w:r>
      <w:r w:rsidR="00D775E3">
        <w:t xml:space="preserve">. </w:t>
      </w:r>
      <w:proofErr w:type="spellStart"/>
      <w:r w:rsidR="00D775E3">
        <w:t>nepřeúčtované</w:t>
      </w:r>
      <w:proofErr w:type="spellEnd"/>
      <w:r w:rsidR="00D775E3">
        <w:t xml:space="preserve"> od třetí osoby</w:t>
      </w:r>
      <w:r w:rsidR="00D775E3">
        <w:rPr>
          <w:rStyle w:val="Znakapoznpodarou"/>
        </w:rPr>
        <w:footnoteReference w:id="2"/>
      </w:r>
      <w:r>
        <w:t>)</w:t>
      </w:r>
    </w:p>
    <w:p w:rsidR="00CF7465" w:rsidRDefault="00BA0ABE" w:rsidP="00CF7465">
      <w:pPr>
        <w:pStyle w:val="Odstavecseseznamem"/>
        <w:numPr>
          <w:ilvl w:val="0"/>
          <w:numId w:val="2"/>
        </w:numPr>
      </w:pPr>
      <w:r>
        <w:lastRenderedPageBreak/>
        <w:t xml:space="preserve">dodávky tepla z kotelen ve vlastnictví nebo ve správě BD, </w:t>
      </w:r>
      <w:r w:rsidR="00634100">
        <w:t xml:space="preserve">plnění spojená s užíváním bytů a nebytových prostor </w:t>
      </w:r>
      <w:r>
        <w:t>(</w:t>
      </w:r>
      <w:r w:rsidR="00634100">
        <w:t xml:space="preserve">úklid </w:t>
      </w:r>
      <w:r>
        <w:t xml:space="preserve">společných prostor domů) </w:t>
      </w:r>
      <w:r w:rsidR="00634100">
        <w:t>zajišťovan</w:t>
      </w:r>
      <w:r>
        <w:t>á</w:t>
      </w:r>
      <w:r w:rsidR="0072266A">
        <w:t xml:space="preserve"> zaměstnanci BD v rámci EČ</w:t>
      </w:r>
      <w:r w:rsidR="0072266A">
        <w:rPr>
          <w:rStyle w:val="Znakapoznpodarou"/>
        </w:rPr>
        <w:footnoteReference w:id="3"/>
      </w:r>
    </w:p>
    <w:p w:rsidR="00634100" w:rsidRDefault="00CF7465" w:rsidP="00CF7465">
      <w:pPr>
        <w:pStyle w:val="Odstavecseseznamem"/>
        <w:numPr>
          <w:ilvl w:val="0"/>
          <w:numId w:val="2"/>
        </w:numPr>
      </w:pPr>
      <w:r>
        <w:t>nájemné z nebytových prostor a částí staveb</w:t>
      </w:r>
      <w:r w:rsidR="00C57CF0">
        <w:t xml:space="preserve"> pronajatých plátcům DPH</w:t>
      </w:r>
      <w:r w:rsidR="00DD4C79">
        <w:rPr>
          <w:rStyle w:val="Znakapoznpodarou"/>
        </w:rPr>
        <w:footnoteReference w:id="4"/>
      </w:r>
    </w:p>
    <w:p w:rsidR="00CF7465" w:rsidRDefault="00634100" w:rsidP="00CF7465">
      <w:pPr>
        <w:pStyle w:val="Odstavecseseznamem"/>
        <w:numPr>
          <w:ilvl w:val="0"/>
          <w:numId w:val="2"/>
        </w:numPr>
      </w:pPr>
      <w:r>
        <w:t>poplatky</w:t>
      </w:r>
      <w:r w:rsidR="00371ADE">
        <w:t xml:space="preserve"> (úhrady)</w:t>
      </w:r>
      <w:r>
        <w:t xml:space="preserve"> za úkony prováděné ve prospěch členů BD (zápisné, poplatek za převod členství, poplatek za převod bytu a pozemku do vlastnictví, poplatek za povolení stavebních úprav </w:t>
      </w:r>
      <w:r w:rsidR="00371ADE">
        <w:t xml:space="preserve">v </w:t>
      </w:r>
      <w:r>
        <w:t>byt</w:t>
      </w:r>
      <w:r w:rsidR="00371ADE">
        <w:t>ě</w:t>
      </w:r>
      <w:r>
        <w:t>, poplatek za převod členských práv a povinností atd.)</w:t>
      </w:r>
    </w:p>
    <w:p w:rsidR="0066659F" w:rsidRDefault="0066659F" w:rsidP="00CF7465">
      <w:pPr>
        <w:pStyle w:val="Odstavecseseznamem"/>
        <w:numPr>
          <w:ilvl w:val="0"/>
          <w:numId w:val="2"/>
        </w:numPr>
      </w:pPr>
      <w:r>
        <w:t>prodej majetku (kopírka, nepotřebné zásoby)</w:t>
      </w:r>
    </w:p>
    <w:p w:rsidR="00634100" w:rsidRDefault="00BA0ABE" w:rsidP="00634100">
      <w:r>
        <w:rPr>
          <w:b/>
        </w:rPr>
        <w:t>R</w:t>
      </w:r>
      <w:r w:rsidR="00634100" w:rsidRPr="00634100">
        <w:rPr>
          <w:b/>
        </w:rPr>
        <w:t>oční objem plnění</w:t>
      </w:r>
      <w:r w:rsidR="00634100">
        <w:rPr>
          <w:b/>
        </w:rPr>
        <w:t xml:space="preserve"> osvobozených </w:t>
      </w:r>
      <w:r w:rsidR="00664D58">
        <w:rPr>
          <w:b/>
        </w:rPr>
        <w:t xml:space="preserve">od daně </w:t>
      </w:r>
      <w:r w:rsidR="00634100">
        <w:rPr>
          <w:b/>
        </w:rPr>
        <w:t>bez nároku na odpočet</w:t>
      </w:r>
      <w:r w:rsidR="00634100" w:rsidRPr="00634100">
        <w:rPr>
          <w:b/>
        </w:rPr>
        <w:t xml:space="preserve"> celkem za BD</w:t>
      </w:r>
      <w:r w:rsidR="00634100" w:rsidRPr="00634100">
        <w:t xml:space="preserve"> = </w:t>
      </w:r>
      <w:r w:rsidR="0042323C">
        <w:t>4</w:t>
      </w:r>
      <w:r w:rsidR="00371ADE">
        <w:t> </w:t>
      </w:r>
      <w:r w:rsidR="0042323C">
        <w:t>750</w:t>
      </w:r>
      <w:r w:rsidR="00634100" w:rsidRPr="00634100">
        <w:t xml:space="preserve"> tis. Kč</w:t>
      </w:r>
      <w:r w:rsidR="002D6B90">
        <w:t xml:space="preserve"> (čitatel i</w:t>
      </w:r>
      <w:r w:rsidR="002D6B90" w:rsidRPr="002D6B90">
        <w:t xml:space="preserve"> </w:t>
      </w:r>
      <w:r w:rsidR="002D6B90">
        <w:t xml:space="preserve">jmenovatel): </w:t>
      </w:r>
    </w:p>
    <w:p w:rsidR="00634100" w:rsidRPr="00C57CF0" w:rsidRDefault="00C57CF0" w:rsidP="00634100">
      <w:pPr>
        <w:pStyle w:val="Odstavecseseznamem"/>
        <w:numPr>
          <w:ilvl w:val="0"/>
          <w:numId w:val="4"/>
        </w:numPr>
      </w:pPr>
      <w:r>
        <w:t xml:space="preserve">nájemné z bytů </w:t>
      </w:r>
      <w:r w:rsidR="00DD4C79">
        <w:t xml:space="preserve">pronajatých </w:t>
      </w:r>
      <w:r w:rsidR="003C4D2C">
        <w:t>v rámci EČ</w:t>
      </w:r>
      <w:r w:rsidR="00DD4C79">
        <w:rPr>
          <w:rStyle w:val="Znakapoznpodarou"/>
        </w:rPr>
        <w:footnoteReference w:id="5"/>
      </w:r>
    </w:p>
    <w:p w:rsidR="00C57CF0" w:rsidRDefault="00C57CF0" w:rsidP="00C57CF0">
      <w:pPr>
        <w:pStyle w:val="Odstavecseseznamem"/>
        <w:numPr>
          <w:ilvl w:val="0"/>
          <w:numId w:val="4"/>
        </w:numPr>
      </w:pPr>
      <w:r>
        <w:t>nájemné z nebytových prostor a částí staveb</w:t>
      </w:r>
      <w:r w:rsidR="00BA0ABE">
        <w:t xml:space="preserve"> pronajatých neplátcům</w:t>
      </w:r>
      <w:r>
        <w:t xml:space="preserve"> </w:t>
      </w:r>
    </w:p>
    <w:p w:rsidR="00634100" w:rsidRDefault="00752C99" w:rsidP="00634100">
      <w:pPr>
        <w:pStyle w:val="Odstavecseseznamem"/>
        <w:numPr>
          <w:ilvl w:val="0"/>
          <w:numId w:val="4"/>
        </w:numPr>
      </w:pPr>
      <w:r>
        <w:t>prodej stavby (bývalá domovní kotelna)</w:t>
      </w:r>
    </w:p>
    <w:p w:rsidR="00752C99" w:rsidRDefault="00A35D92" w:rsidP="00634100">
      <w:pPr>
        <w:pStyle w:val="Odstavecseseznamem"/>
        <w:numPr>
          <w:ilvl w:val="0"/>
          <w:numId w:val="4"/>
        </w:numPr>
      </w:pPr>
      <w:r>
        <w:t>pojišťovací činnost v rámci EČ</w:t>
      </w:r>
      <w:r>
        <w:rPr>
          <w:vertAlign w:val="superscript"/>
        </w:rPr>
        <w:t xml:space="preserve"> </w:t>
      </w:r>
      <w:r>
        <w:t>(</w:t>
      </w:r>
      <w:r w:rsidR="00752C99">
        <w:t>přeúčtování pojistného</w:t>
      </w:r>
      <w:r w:rsidR="00FE1FDD">
        <w:rPr>
          <w:vertAlign w:val="superscript"/>
        </w:rPr>
        <w:t xml:space="preserve"> </w:t>
      </w:r>
      <w:r w:rsidR="00752C99">
        <w:t>za pojištění staveb na vlastníky jednotek</w:t>
      </w:r>
      <w:r w:rsidR="00D775E3">
        <w:t xml:space="preserve"> a SVJ</w:t>
      </w:r>
      <w:r>
        <w:t>)</w:t>
      </w:r>
      <w:r w:rsidR="00FE1FDD">
        <w:rPr>
          <w:rStyle w:val="Znakapoznpodarou"/>
        </w:rPr>
        <w:footnoteReference w:id="6"/>
      </w:r>
      <w:r w:rsidR="00752C99">
        <w:t xml:space="preserve"> </w:t>
      </w:r>
    </w:p>
    <w:p w:rsidR="00752C99" w:rsidRDefault="00A35D92" w:rsidP="00634100">
      <w:pPr>
        <w:pStyle w:val="Odstavecseseznamem"/>
        <w:numPr>
          <w:ilvl w:val="0"/>
          <w:numId w:val="4"/>
        </w:numPr>
      </w:pPr>
      <w:r>
        <w:t>finanční činnost (</w:t>
      </w:r>
      <w:r w:rsidR="00752C99">
        <w:t>prodej podílových listů</w:t>
      </w:r>
      <w:r>
        <w:t>)</w:t>
      </w:r>
    </w:p>
    <w:p w:rsidR="00A35D92" w:rsidRPr="0042323C" w:rsidRDefault="0042323C" w:rsidP="00A35D92">
      <w:pPr>
        <w:rPr>
          <w:b/>
        </w:rPr>
      </w:pPr>
      <w:r w:rsidRPr="0042323C">
        <w:rPr>
          <w:b/>
        </w:rPr>
        <w:t xml:space="preserve">EČ celkem </w:t>
      </w:r>
      <w:r w:rsidR="00DD4C79">
        <w:rPr>
          <w:b/>
        </w:rPr>
        <w:t xml:space="preserve">(zdanitelná i osvobozená plnění) </w:t>
      </w:r>
      <w:r w:rsidRPr="0042323C">
        <w:rPr>
          <w:b/>
        </w:rPr>
        <w:t xml:space="preserve">= </w:t>
      </w:r>
      <w:r>
        <w:rPr>
          <w:b/>
        </w:rPr>
        <w:t xml:space="preserve">18 </w:t>
      </w:r>
      <w:r w:rsidR="00A83A26">
        <w:rPr>
          <w:b/>
        </w:rPr>
        <w:t>44</w:t>
      </w:r>
      <w:r>
        <w:rPr>
          <w:b/>
        </w:rPr>
        <w:t>2</w:t>
      </w:r>
      <w:r w:rsidRPr="0042323C">
        <w:rPr>
          <w:b/>
        </w:rPr>
        <w:t xml:space="preserve"> tis. Kč</w:t>
      </w:r>
    </w:p>
    <w:p w:rsidR="00A35D92" w:rsidRDefault="00BA0ABE" w:rsidP="00A35D92">
      <w:r>
        <w:rPr>
          <w:b/>
        </w:rPr>
        <w:t>R</w:t>
      </w:r>
      <w:r w:rsidR="00A35D92" w:rsidRPr="00A35D92">
        <w:rPr>
          <w:b/>
        </w:rPr>
        <w:t xml:space="preserve">oční objem plnění </w:t>
      </w:r>
      <w:r w:rsidR="00A35D92">
        <w:rPr>
          <w:b/>
        </w:rPr>
        <w:t>poskyt</w:t>
      </w:r>
      <w:r w:rsidR="002D6B90">
        <w:rPr>
          <w:b/>
        </w:rPr>
        <w:t>nutých</w:t>
      </w:r>
      <w:r w:rsidR="00A35D92">
        <w:rPr>
          <w:b/>
        </w:rPr>
        <w:t xml:space="preserve"> mimo </w:t>
      </w:r>
      <w:r w:rsidR="002D6B90">
        <w:rPr>
          <w:b/>
        </w:rPr>
        <w:t xml:space="preserve">rámec </w:t>
      </w:r>
      <w:r w:rsidR="00A35D92">
        <w:rPr>
          <w:b/>
        </w:rPr>
        <w:t xml:space="preserve">EČ </w:t>
      </w:r>
      <w:r w:rsidR="00A35D92" w:rsidRPr="00A35D92">
        <w:rPr>
          <w:b/>
        </w:rPr>
        <w:t>celkem za BD</w:t>
      </w:r>
      <w:r w:rsidR="00A35D92" w:rsidRPr="00A35D92">
        <w:t xml:space="preserve"> = </w:t>
      </w:r>
      <w:r w:rsidR="00A83A26">
        <w:t>63 171</w:t>
      </w:r>
      <w:r w:rsidR="00A35D92" w:rsidRPr="00A35D92">
        <w:t xml:space="preserve"> tis. Kč</w:t>
      </w:r>
      <w:r w:rsidR="002D6B90" w:rsidRPr="002D6B90">
        <w:t xml:space="preserve"> </w:t>
      </w:r>
      <w:r w:rsidR="002D6B90">
        <w:t>(jmenovatel)</w:t>
      </w:r>
      <w:r>
        <w:t>:</w:t>
      </w:r>
    </w:p>
    <w:p w:rsidR="00A35D92" w:rsidRDefault="00A35D92" w:rsidP="00A35D92">
      <w:pPr>
        <w:pStyle w:val="Odstavecseseznamem"/>
        <w:numPr>
          <w:ilvl w:val="0"/>
          <w:numId w:val="5"/>
        </w:numPr>
      </w:pPr>
      <w:r>
        <w:t xml:space="preserve">nájemné z bytů a garáží </w:t>
      </w:r>
      <w:r w:rsidR="00BA0ABE">
        <w:t>pronajatých</w:t>
      </w:r>
      <w:r>
        <w:t xml:space="preserve"> mimo </w:t>
      </w:r>
      <w:r w:rsidR="002D6B90">
        <w:t xml:space="preserve">rámec </w:t>
      </w:r>
      <w:r>
        <w:t>EČ</w:t>
      </w:r>
      <w:r w:rsidR="0000419F">
        <w:rPr>
          <w:rStyle w:val="Znakapoznpodarou"/>
        </w:rPr>
        <w:footnoteReference w:id="7"/>
      </w:r>
      <w:r>
        <w:t xml:space="preserve"> ve výši předpisu (pevně stanovený poplatek na správu), resp. čerpání zálohového nájemného</w:t>
      </w:r>
      <w:r w:rsidR="0000419F">
        <w:rPr>
          <w:rStyle w:val="Znakapoznpodarou"/>
        </w:rPr>
        <w:footnoteReference w:id="8"/>
      </w:r>
    </w:p>
    <w:p w:rsidR="009E6AE2" w:rsidRDefault="009E6AE2" w:rsidP="009E6AE2">
      <w:pPr>
        <w:pStyle w:val="Odstavecseseznamem"/>
        <w:numPr>
          <w:ilvl w:val="0"/>
          <w:numId w:val="5"/>
        </w:numPr>
      </w:pPr>
      <w:r>
        <w:t xml:space="preserve">odměna za správu zajišťovanou </w:t>
      </w:r>
      <w:r w:rsidR="00BA0ABE">
        <w:t xml:space="preserve">pro vlastníky bytů a garáží </w:t>
      </w:r>
      <w:r>
        <w:t xml:space="preserve">mimo </w:t>
      </w:r>
      <w:r w:rsidR="00331835">
        <w:t xml:space="preserve">rámec </w:t>
      </w:r>
      <w:r>
        <w:t>EČ</w:t>
      </w:r>
      <w:r w:rsidR="00365A9A">
        <w:t xml:space="preserve"> (poplatek na správu</w:t>
      </w:r>
      <w:r>
        <w:t xml:space="preserve"> </w:t>
      </w:r>
      <w:r w:rsidR="00365A9A">
        <w:t xml:space="preserve">a čerpání zálohového příspěvku vlastníka jednotky na správu společných částí domu ve výši příslušných nákladů - </w:t>
      </w:r>
      <w:r>
        <w:t>odměna výboru samosprávy, údržba a opravy zajišťované zaměstnancem BD)</w:t>
      </w:r>
      <w:r w:rsidR="00365A9A">
        <w:rPr>
          <w:rStyle w:val="Znakapoznpodarou"/>
        </w:rPr>
        <w:footnoteReference w:id="9"/>
      </w:r>
    </w:p>
    <w:p w:rsidR="00BA0ABE" w:rsidRDefault="00707DC4" w:rsidP="009E6AE2">
      <w:pPr>
        <w:pStyle w:val="Odstavecseseznamem"/>
        <w:numPr>
          <w:ilvl w:val="0"/>
          <w:numId w:val="5"/>
        </w:numPr>
      </w:pPr>
      <w:r>
        <w:lastRenderedPageBreak/>
        <w:t xml:space="preserve">plnění spojená s užíváním bytů a </w:t>
      </w:r>
      <w:r w:rsidR="00BA0ABE">
        <w:t>garáží</w:t>
      </w:r>
      <w:r>
        <w:t xml:space="preserve"> vyjma dodávek tepla</w:t>
      </w:r>
      <w:r w:rsidR="00BA0ABE">
        <w:t xml:space="preserve"> (jsou vždy EČ)</w:t>
      </w:r>
      <w:r>
        <w:t xml:space="preserve"> zajišťovaná </w:t>
      </w:r>
      <w:r w:rsidR="00BA0ABE">
        <w:t xml:space="preserve">zaměstnanci BD </w:t>
      </w:r>
      <w:r>
        <w:t xml:space="preserve">mimo </w:t>
      </w:r>
      <w:r w:rsidR="00331835">
        <w:t xml:space="preserve">rámec </w:t>
      </w:r>
      <w:r>
        <w:t xml:space="preserve">EČ (úklid </w:t>
      </w:r>
      <w:r w:rsidR="00BA0ABE">
        <w:t>společných prostor domů)</w:t>
      </w:r>
      <w:r w:rsidR="0038339B">
        <w:rPr>
          <w:rStyle w:val="Znakapoznpodarou"/>
        </w:rPr>
        <w:footnoteReference w:id="10"/>
      </w:r>
      <w:r w:rsidR="00BA0ABE">
        <w:t xml:space="preserve"> </w:t>
      </w:r>
    </w:p>
    <w:p w:rsidR="009E6AE2" w:rsidRDefault="009E6AE2" w:rsidP="009E6AE2">
      <w:pPr>
        <w:pStyle w:val="Odstavecseseznamem"/>
        <w:numPr>
          <w:ilvl w:val="0"/>
          <w:numId w:val="5"/>
        </w:numPr>
      </w:pPr>
      <w:r>
        <w:t xml:space="preserve">pojišťovací činnost poskytovaná mimo </w:t>
      </w:r>
      <w:r w:rsidR="00331835">
        <w:t xml:space="preserve">rámec </w:t>
      </w:r>
      <w:r>
        <w:t>EČ</w:t>
      </w:r>
      <w:r w:rsidRPr="00BA0ABE">
        <w:rPr>
          <w:vertAlign w:val="superscript"/>
        </w:rPr>
        <w:t xml:space="preserve"> </w:t>
      </w:r>
      <w:r>
        <w:t>(přeúčtování pojistného</w:t>
      </w:r>
      <w:r w:rsidR="00371ADE">
        <w:t xml:space="preserve"> </w:t>
      </w:r>
      <w:r>
        <w:t xml:space="preserve">za pojištění staveb na vlastníky </w:t>
      </w:r>
      <w:r w:rsidR="00D775E3">
        <w:t>bytů a garáží</w:t>
      </w:r>
      <w:r>
        <w:t>)</w:t>
      </w:r>
      <w:r w:rsidR="0038339B">
        <w:t xml:space="preserve"> </w:t>
      </w:r>
      <w:r w:rsidR="0038339B">
        <w:rPr>
          <w:rStyle w:val="Znakapoznpodarou"/>
        </w:rPr>
        <w:footnoteReference w:id="11"/>
      </w:r>
    </w:p>
    <w:p w:rsidR="009E6AE2" w:rsidRPr="009E6AE2" w:rsidRDefault="009E6AE2" w:rsidP="009E6AE2">
      <w:pPr>
        <w:pStyle w:val="Odstavecseseznamem"/>
        <w:numPr>
          <w:ilvl w:val="0"/>
          <w:numId w:val="5"/>
        </w:numPr>
      </w:pPr>
      <w:r>
        <w:t>prodej bytů, garáží a pozemků členům BD fyzickým osobám</w:t>
      </w:r>
      <w:r w:rsidR="0038339B">
        <w:rPr>
          <w:rStyle w:val="Znakapoznpodarou"/>
        </w:rPr>
        <w:footnoteReference w:id="12"/>
      </w:r>
    </w:p>
    <w:p w:rsidR="000D5CD2" w:rsidRDefault="00FA7E49" w:rsidP="00A35D9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18 </w:t>
      </w:r>
      <w:r w:rsidR="00624046">
        <w:rPr>
          <w:b/>
        </w:rPr>
        <w:t>44</w:t>
      </w:r>
      <w:r>
        <w:rPr>
          <w:b/>
        </w:rPr>
        <w:t>2</w:t>
      </w:r>
    </w:p>
    <w:p w:rsidR="009E6AE2" w:rsidRPr="000D5CD2" w:rsidRDefault="00FA7E49" w:rsidP="00A35D92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1534312</wp:posOffset>
                </wp:positionH>
                <wp:positionV relativeFrom="paragraph">
                  <wp:posOffset>67865</wp:posOffset>
                </wp:positionV>
                <wp:extent cx="1203960" cy="0"/>
                <wp:effectExtent l="0" t="0" r="1524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8pt,5.35pt" to="215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IW4AEAAAwEAAAOAAAAZHJzL2Uyb0RvYy54bWysU82O0zAQviPxDpbvNGkRKzZquoddLRcE&#10;FT8P4HXGrZHtsWzTpI/CkQfgKVa8F2MnTVeAkHbFxcnYM5+/75vx+mqwhh0gRI2u5ctFzRk4iZ12&#10;u5Z//nT74jVnMQnXCYMOWn6EyK82z5+te9/ACvdoOgiMQFxset/yfUq+qaoo92BFXKAHR4cKgxWJ&#10;wrCruiB6QremWtX1RdVj6HxACTHS7s14yDcFXymQ6b1SERIzLSduqayhrHd5rTZr0eyC8HstJxri&#10;CSys0I4unaFuRBLsa9B/QFktA0ZUaSHRVqiUllA0kJpl/Zuaj3vhoWghc6KfbYr/D1a+O2wD0x31&#10;jjMnLLVo+/Pb/Q97/51Fj18c8WPLbFPvY0PZ124bpij6bciaBxVs/pIaNhRrj7O1MCQmaXO5ql9e&#10;XlAH5OmsOhf6ENMbQMvyT8uNdlm1aMThbUx0GaWeUvK2cawnxMv6VV3SIhrd3Wpj8mGZHLg2gR0E&#10;9TwNhTwhPMiiyDiCzZJGEeUvHQ2M+B9AkSeZ9nhBnsYzppASXDrhGkfZuUwRg7lwYvavwik/l0KZ&#10;1McUzxXlZnRpLrbaYfgb7bMVasw/OTDqzhbcYXcs7S3W0MgV76fnkWf6YVzKz4948wsAAP//AwBQ&#10;SwMEFAAGAAgAAAAhAJfas7DbAAAACQEAAA8AAABkcnMvZG93bnJldi54bWxMj0FuwjAQRfeVuIM1&#10;SGyi4iSktErjoCoSByhwABMPSVR7HMUG0tszVRftcub/+fN+tZudFTecwuBJQbZOQSC13gzUKTgd&#10;989vIELUZLT1hAq+McCuXjxVujT+Tp94O8ROcAiFUivoYxxLKUPbo9Nh7Uck1i5+cjryOHXSTPrO&#10;4c7KPE230umB+EOvR2x6bL8OV8cYTXNKAu7tJjm2l6SYX3IbRqVWy/njHUTEOf6Z4Qefb6BmprO/&#10;kgnCKsiLbMtWFtJXEGwoNlkO4vy7kHUl/zeoHwAAAP//AwBQSwECLQAUAAYACAAAACEAtoM4kv4A&#10;AADhAQAAEwAAAAAAAAAAAAAAAAAAAAAAW0NvbnRlbnRfVHlwZXNdLnhtbFBLAQItABQABgAIAAAA&#10;IQA4/SH/1gAAAJQBAAALAAAAAAAAAAAAAAAAAC8BAABfcmVscy8ucmVsc1BLAQItABQABgAIAAAA&#10;IQDQ78IW4AEAAAwEAAAOAAAAAAAAAAAAAAAAAC4CAABkcnMvZTJvRG9jLnhtbFBLAQItABQABgAI&#10;AAAAIQCX2rOw2wAAAAkBAAAPAAAAAAAAAAAAAAAAADoEAABkcnMvZG93bnJldi54bWxQSwUGAAAA&#10;AAQABADzAAAAQgUAAAAA&#10;" strokecolor="black [3213]" strokeweight="1.5pt"/>
            </w:pict>
          </mc:Fallback>
        </mc:AlternateContent>
      </w:r>
      <w:r w:rsidR="000D5CD2" w:rsidRPr="000D5CD2">
        <w:rPr>
          <w:b/>
        </w:rPr>
        <w:t xml:space="preserve">poměrný </w:t>
      </w:r>
      <w:proofErr w:type="gramStart"/>
      <w:r w:rsidR="000D5CD2" w:rsidRPr="000D5CD2">
        <w:rPr>
          <w:b/>
        </w:rPr>
        <w:t>koeficient</w:t>
      </w:r>
      <w:r w:rsidR="000D5CD2">
        <w:rPr>
          <w:b/>
        </w:rPr>
        <w:t xml:space="preserve"> = </w:t>
      </w:r>
      <w:r>
        <w:rPr>
          <w:b/>
        </w:rPr>
        <w:t xml:space="preserve">                                    = 23</w:t>
      </w:r>
      <w:proofErr w:type="gramEnd"/>
      <w:r>
        <w:rPr>
          <w:b/>
        </w:rPr>
        <w:t xml:space="preserve"> %</w:t>
      </w:r>
    </w:p>
    <w:p w:rsidR="00FA7E49" w:rsidRDefault="00FA7E49" w:rsidP="00A35D9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624046">
        <w:rPr>
          <w:b/>
        </w:rPr>
        <w:t>63 171 + 18 44</w:t>
      </w:r>
      <w:r>
        <w:rPr>
          <w:b/>
        </w:rPr>
        <w:t>2</w:t>
      </w:r>
    </w:p>
    <w:p w:rsidR="000D5CD2" w:rsidRPr="00FA7E49" w:rsidRDefault="00FA7E49" w:rsidP="00A35D92">
      <w:pPr>
        <w:rPr>
          <w:b/>
        </w:rPr>
      </w:pPr>
      <w:r w:rsidRPr="00FA7E49">
        <w:rPr>
          <w:b/>
        </w:rPr>
        <w:tab/>
      </w:r>
      <w:r w:rsidRPr="00FA7E49">
        <w:rPr>
          <w:b/>
        </w:rPr>
        <w:tab/>
      </w:r>
    </w:p>
    <w:p w:rsidR="00A35D92" w:rsidRPr="009E6AE2" w:rsidRDefault="00A35D92" w:rsidP="00A35D92">
      <w:pPr>
        <w:rPr>
          <w:b/>
          <w:bdr w:val="single" w:sz="4" w:space="0" w:color="auto"/>
        </w:rPr>
      </w:pPr>
      <w:r w:rsidRPr="009E6AE2">
        <w:rPr>
          <w:b/>
          <w:bdr w:val="single" w:sz="4" w:space="0" w:color="auto"/>
        </w:rPr>
        <w:t xml:space="preserve">Varianta B – koeficient </w:t>
      </w:r>
      <w:r w:rsidR="00A83A26">
        <w:rPr>
          <w:b/>
          <w:bdr w:val="single" w:sz="4" w:space="0" w:color="auto"/>
        </w:rPr>
        <w:t xml:space="preserve">stanovený </w:t>
      </w:r>
      <w:r w:rsidRPr="009E6AE2">
        <w:rPr>
          <w:b/>
          <w:bdr w:val="single" w:sz="4" w:space="0" w:color="auto"/>
        </w:rPr>
        <w:t xml:space="preserve">z plnění </w:t>
      </w:r>
      <w:r w:rsidR="00C57CF0">
        <w:rPr>
          <w:b/>
          <w:bdr w:val="single" w:sz="4" w:space="0" w:color="auto"/>
        </w:rPr>
        <w:t xml:space="preserve">poskytnutých </w:t>
      </w:r>
      <w:r w:rsidR="002D6B90">
        <w:rPr>
          <w:b/>
          <w:bdr w:val="single" w:sz="4" w:space="0" w:color="auto"/>
        </w:rPr>
        <w:t xml:space="preserve">na </w:t>
      </w:r>
      <w:r w:rsidRPr="009E6AE2">
        <w:rPr>
          <w:b/>
          <w:bdr w:val="single" w:sz="4" w:space="0" w:color="auto"/>
        </w:rPr>
        <w:t>středisk</w:t>
      </w:r>
      <w:r w:rsidR="002D6B90">
        <w:rPr>
          <w:b/>
          <w:bdr w:val="single" w:sz="4" w:space="0" w:color="auto"/>
        </w:rPr>
        <w:t>u</w:t>
      </w:r>
      <w:r w:rsidRPr="009E6AE2">
        <w:rPr>
          <w:b/>
          <w:bdr w:val="single" w:sz="4" w:space="0" w:color="auto"/>
        </w:rPr>
        <w:t xml:space="preserve"> správy</w:t>
      </w:r>
    </w:p>
    <w:p w:rsidR="00A35D92" w:rsidRDefault="00664D58" w:rsidP="00A35D92">
      <w:r>
        <w:rPr>
          <w:b/>
        </w:rPr>
        <w:t>R</w:t>
      </w:r>
      <w:r w:rsidR="00A35D92">
        <w:rPr>
          <w:b/>
        </w:rPr>
        <w:t xml:space="preserve">oční objem </w:t>
      </w:r>
      <w:r w:rsidR="00A35D92" w:rsidRPr="00CF7465">
        <w:rPr>
          <w:b/>
        </w:rPr>
        <w:t>zdaniteln</w:t>
      </w:r>
      <w:r w:rsidR="00A35D92">
        <w:rPr>
          <w:b/>
        </w:rPr>
        <w:t>ých</w:t>
      </w:r>
      <w:r w:rsidR="00A35D92" w:rsidRPr="00CF7465">
        <w:rPr>
          <w:b/>
        </w:rPr>
        <w:t xml:space="preserve"> plnění</w:t>
      </w:r>
      <w:r w:rsidR="00A35D92">
        <w:rPr>
          <w:b/>
        </w:rPr>
        <w:t xml:space="preserve"> </w:t>
      </w:r>
      <w:r w:rsidR="000D5CD2">
        <w:rPr>
          <w:b/>
        </w:rPr>
        <w:t>středisk</w:t>
      </w:r>
      <w:r>
        <w:rPr>
          <w:b/>
        </w:rPr>
        <w:t>a</w:t>
      </w:r>
      <w:r w:rsidR="000D5CD2">
        <w:rPr>
          <w:b/>
        </w:rPr>
        <w:t xml:space="preserve"> správy</w:t>
      </w:r>
      <w:r w:rsidR="00A35D92">
        <w:rPr>
          <w:b/>
        </w:rPr>
        <w:t xml:space="preserve"> </w:t>
      </w:r>
      <w:r w:rsidR="00A35D92">
        <w:t xml:space="preserve">= </w:t>
      </w:r>
      <w:r w:rsidR="000D5CD2">
        <w:t>5 164</w:t>
      </w:r>
      <w:r w:rsidR="00A35D92">
        <w:t xml:space="preserve"> tis. Kč</w:t>
      </w:r>
      <w:r w:rsidR="002D6B90">
        <w:t xml:space="preserve"> (čitatel i</w:t>
      </w:r>
      <w:r w:rsidR="002D6B90" w:rsidRPr="002D6B90">
        <w:t xml:space="preserve"> </w:t>
      </w:r>
      <w:r w:rsidR="002D6B90">
        <w:t>jmenovatel)</w:t>
      </w:r>
      <w:r>
        <w:t>:</w:t>
      </w:r>
    </w:p>
    <w:p w:rsidR="00C57CF0" w:rsidRPr="00C57CF0" w:rsidRDefault="00C57CF0" w:rsidP="00C57CF0">
      <w:pPr>
        <w:pStyle w:val="Odstavecseseznamem"/>
        <w:numPr>
          <w:ilvl w:val="0"/>
          <w:numId w:val="6"/>
        </w:numPr>
      </w:pPr>
      <w:r w:rsidRPr="00C57CF0">
        <w:t>odměna za správu zajišťovanou pro SVJ</w:t>
      </w:r>
      <w:r w:rsidR="00BC76FA">
        <w:t xml:space="preserve"> (smluvní cena)</w:t>
      </w:r>
    </w:p>
    <w:p w:rsidR="000D5CD2" w:rsidRDefault="00C57CF0" w:rsidP="000D5CD2">
      <w:pPr>
        <w:pStyle w:val="Odstavecseseznamem"/>
        <w:numPr>
          <w:ilvl w:val="0"/>
          <w:numId w:val="6"/>
        </w:numPr>
      </w:pPr>
      <w:r>
        <w:t>odměna za správu zajišťovanou pro vlastníky jednotek v rámci EČ (pouze poplatek na správu)</w:t>
      </w:r>
    </w:p>
    <w:p w:rsidR="00C57CF0" w:rsidRDefault="00C57CF0" w:rsidP="000D5CD2">
      <w:pPr>
        <w:pStyle w:val="Odstavecseseznamem"/>
        <w:numPr>
          <w:ilvl w:val="0"/>
          <w:numId w:val="6"/>
        </w:numPr>
      </w:pPr>
      <w:r w:rsidRPr="00C57CF0">
        <w:t>nájemné z nebytových prostor</w:t>
      </w:r>
      <w:r w:rsidR="00664D58">
        <w:t xml:space="preserve"> a částí staveb</w:t>
      </w:r>
      <w:r w:rsidRPr="00C57CF0">
        <w:t xml:space="preserve"> pronajatých v</w:t>
      </w:r>
      <w:r>
        <w:t> bytových domech (pouze poplatek na správu</w:t>
      </w:r>
      <w:r w:rsidR="00664D58">
        <w:t>, resp. část nájemného, která je výnosem střediska správy</w:t>
      </w:r>
      <w:r>
        <w:t>)</w:t>
      </w:r>
    </w:p>
    <w:p w:rsidR="00C57CF0" w:rsidRDefault="00C57CF0" w:rsidP="00C57CF0">
      <w:pPr>
        <w:pStyle w:val="Odstavecseseznamem"/>
        <w:numPr>
          <w:ilvl w:val="0"/>
          <w:numId w:val="6"/>
        </w:numPr>
      </w:pPr>
      <w:r>
        <w:t>nájemné z nebytových prostor pronajatých v budově sídla BD</w:t>
      </w:r>
      <w:r w:rsidR="00BC76FA">
        <w:t xml:space="preserve"> plátcům daně</w:t>
      </w:r>
    </w:p>
    <w:p w:rsidR="00C57CF0" w:rsidRDefault="00C57CF0" w:rsidP="00C57CF0">
      <w:pPr>
        <w:pStyle w:val="Odstavecseseznamem"/>
        <w:numPr>
          <w:ilvl w:val="0"/>
          <w:numId w:val="6"/>
        </w:numPr>
      </w:pPr>
      <w:r>
        <w:t xml:space="preserve">poplatky </w:t>
      </w:r>
      <w:r w:rsidR="001C1541">
        <w:t xml:space="preserve">(úhrady) </w:t>
      </w:r>
      <w:r>
        <w:t>za úkony prováděné ve prospěch členů BD (zápisné, poplatek za převod členství, poplatek za převod bytu a pozemku do vlastnictví, poplatek za povolení stavebních úprav bytu, poplatek za převod členských práv a povinností atd.)</w:t>
      </w:r>
    </w:p>
    <w:p w:rsidR="00C57CF0" w:rsidRDefault="00C57CF0" w:rsidP="00C57CF0">
      <w:pPr>
        <w:pStyle w:val="Odstavecseseznamem"/>
        <w:numPr>
          <w:ilvl w:val="0"/>
          <w:numId w:val="6"/>
        </w:numPr>
      </w:pPr>
      <w:r>
        <w:t>prodej majetku (kopírka, nepotřebné zásoby)</w:t>
      </w:r>
    </w:p>
    <w:p w:rsidR="00664D58" w:rsidRDefault="00664D58" w:rsidP="00664D58">
      <w:r>
        <w:rPr>
          <w:b/>
        </w:rPr>
        <w:t>R</w:t>
      </w:r>
      <w:r w:rsidRPr="00634100">
        <w:rPr>
          <w:b/>
        </w:rPr>
        <w:t>oční objem plnění</w:t>
      </w:r>
      <w:r>
        <w:rPr>
          <w:b/>
        </w:rPr>
        <w:t xml:space="preserve"> osvobozených od daně bez nároku na odpočet</w:t>
      </w:r>
      <w:r w:rsidRPr="00634100">
        <w:rPr>
          <w:b/>
        </w:rPr>
        <w:t xml:space="preserve"> </w:t>
      </w:r>
      <w:r w:rsidR="002D6B90">
        <w:rPr>
          <w:b/>
        </w:rPr>
        <w:t xml:space="preserve">na </w:t>
      </w:r>
      <w:r>
        <w:rPr>
          <w:b/>
        </w:rPr>
        <w:t>středisk</w:t>
      </w:r>
      <w:r w:rsidR="002D6B90">
        <w:rPr>
          <w:b/>
        </w:rPr>
        <w:t>u</w:t>
      </w:r>
      <w:r>
        <w:rPr>
          <w:b/>
        </w:rPr>
        <w:t xml:space="preserve"> správy</w:t>
      </w:r>
      <w:r w:rsidRPr="00634100">
        <w:t xml:space="preserve"> = </w:t>
      </w:r>
      <w:r w:rsidR="002D6B90">
        <w:t>2 587</w:t>
      </w:r>
      <w:r w:rsidRPr="00634100">
        <w:t xml:space="preserve"> tis. Kč</w:t>
      </w:r>
      <w:r w:rsidR="002D6B90">
        <w:t xml:space="preserve"> (čitatel i</w:t>
      </w:r>
      <w:r w:rsidR="002D6B90" w:rsidRPr="002D6B90">
        <w:t xml:space="preserve"> </w:t>
      </w:r>
      <w:r w:rsidR="002D6B90">
        <w:t>jmenovatel)</w:t>
      </w:r>
      <w:r>
        <w:t>:</w:t>
      </w:r>
    </w:p>
    <w:p w:rsidR="00664D58" w:rsidRPr="00C57CF0" w:rsidRDefault="00664D58" w:rsidP="00664D58">
      <w:pPr>
        <w:pStyle w:val="Odstavecseseznamem"/>
        <w:numPr>
          <w:ilvl w:val="0"/>
          <w:numId w:val="4"/>
        </w:numPr>
      </w:pPr>
      <w:r>
        <w:t xml:space="preserve">nájemné z bytů </w:t>
      </w:r>
      <w:r w:rsidR="00BC76FA">
        <w:t xml:space="preserve">pronajatých </w:t>
      </w:r>
      <w:r>
        <w:t>v rámci EČ (pouze poplatek na správu)</w:t>
      </w:r>
    </w:p>
    <w:p w:rsidR="00664D58" w:rsidRDefault="00664D58" w:rsidP="00664D58">
      <w:pPr>
        <w:pStyle w:val="Odstavecseseznamem"/>
        <w:numPr>
          <w:ilvl w:val="0"/>
          <w:numId w:val="6"/>
        </w:numPr>
      </w:pPr>
      <w:r>
        <w:t>nájemné</w:t>
      </w:r>
      <w:r w:rsidR="001C1541">
        <w:t xml:space="preserve"> </w:t>
      </w:r>
      <w:r>
        <w:t xml:space="preserve">z nebytových prostor a částí staveb pronajatých </w:t>
      </w:r>
      <w:r w:rsidRPr="00C57CF0">
        <w:t>v</w:t>
      </w:r>
      <w:r>
        <w:t> bytových domech neplátcům (pouze poplatek na správu,</w:t>
      </w:r>
      <w:r w:rsidRPr="00664D58">
        <w:t xml:space="preserve"> </w:t>
      </w:r>
      <w:r>
        <w:t>resp. část nájemného, která je výnosem střediska správy)</w:t>
      </w:r>
    </w:p>
    <w:p w:rsidR="00BC76FA" w:rsidRDefault="00BC76FA" w:rsidP="00BC76FA">
      <w:pPr>
        <w:pStyle w:val="Odstavecseseznamem"/>
        <w:numPr>
          <w:ilvl w:val="0"/>
          <w:numId w:val="6"/>
        </w:numPr>
      </w:pPr>
      <w:r>
        <w:t>nájemné z nebytových prostor pronajatých v budově sídla BD neplátcům daně</w:t>
      </w:r>
    </w:p>
    <w:p w:rsidR="00664D58" w:rsidRDefault="00664D58" w:rsidP="00664D58">
      <w:pPr>
        <w:pStyle w:val="Odstavecseseznamem"/>
        <w:numPr>
          <w:ilvl w:val="0"/>
          <w:numId w:val="4"/>
        </w:numPr>
      </w:pPr>
      <w:r>
        <w:t>prodej stavby (bývalá domovní kotelna)</w:t>
      </w:r>
    </w:p>
    <w:p w:rsidR="00664D58" w:rsidRDefault="00664D58" w:rsidP="00664D58">
      <w:pPr>
        <w:pStyle w:val="Odstavecseseznamem"/>
        <w:numPr>
          <w:ilvl w:val="0"/>
          <w:numId w:val="4"/>
        </w:numPr>
      </w:pPr>
      <w:r>
        <w:t>finanční činnost (prodej podílových listů)</w:t>
      </w:r>
    </w:p>
    <w:p w:rsidR="00664D58" w:rsidRPr="0042323C" w:rsidRDefault="00664D58" w:rsidP="00664D58">
      <w:pPr>
        <w:rPr>
          <w:b/>
        </w:rPr>
      </w:pPr>
      <w:r w:rsidRPr="0042323C">
        <w:rPr>
          <w:b/>
        </w:rPr>
        <w:t xml:space="preserve">EČ celkem = </w:t>
      </w:r>
      <w:r w:rsidR="002D6B90">
        <w:rPr>
          <w:b/>
        </w:rPr>
        <w:t>7 751</w:t>
      </w:r>
      <w:r w:rsidRPr="0042323C">
        <w:rPr>
          <w:b/>
        </w:rPr>
        <w:t xml:space="preserve"> tis. Kč</w:t>
      </w:r>
    </w:p>
    <w:p w:rsidR="002D6B90" w:rsidRDefault="002D6B90" w:rsidP="002D6B90">
      <w:r>
        <w:rPr>
          <w:b/>
        </w:rPr>
        <w:t>R</w:t>
      </w:r>
      <w:r w:rsidRPr="00A35D92">
        <w:rPr>
          <w:b/>
        </w:rPr>
        <w:t xml:space="preserve">oční objem plnění </w:t>
      </w:r>
      <w:r>
        <w:rPr>
          <w:b/>
        </w:rPr>
        <w:t>poskytnutých mimo rámec EČ na středisku správy</w:t>
      </w:r>
      <w:r w:rsidRPr="00A35D92">
        <w:t xml:space="preserve"> = </w:t>
      </w:r>
      <w:r w:rsidR="008D7863">
        <w:t xml:space="preserve">11 463 </w:t>
      </w:r>
      <w:r w:rsidRPr="00A35D92">
        <w:t>tis. Kč</w:t>
      </w:r>
      <w:r>
        <w:t>:</w:t>
      </w:r>
    </w:p>
    <w:p w:rsidR="008D7863" w:rsidRDefault="002D6B90" w:rsidP="008D7863">
      <w:pPr>
        <w:pStyle w:val="Odstavecseseznamem"/>
        <w:numPr>
          <w:ilvl w:val="0"/>
          <w:numId w:val="6"/>
        </w:numPr>
      </w:pPr>
      <w:r>
        <w:t xml:space="preserve">nájemné z bytů a garáží pronajatých mimo </w:t>
      </w:r>
      <w:r w:rsidR="008D7863">
        <w:t xml:space="preserve">rámec </w:t>
      </w:r>
      <w:r>
        <w:t xml:space="preserve">EČ </w:t>
      </w:r>
      <w:r w:rsidR="008D7863">
        <w:t>(pouze poplatek na správu)</w:t>
      </w:r>
    </w:p>
    <w:p w:rsidR="008D7863" w:rsidRDefault="002D6B90" w:rsidP="008D7863">
      <w:pPr>
        <w:pStyle w:val="Odstavecseseznamem"/>
        <w:numPr>
          <w:ilvl w:val="0"/>
          <w:numId w:val="6"/>
        </w:numPr>
      </w:pPr>
      <w:r>
        <w:lastRenderedPageBreak/>
        <w:t xml:space="preserve">odměna za správu zajišťovanou pro vlastníky bytů a garáží mimo rámec EČ </w:t>
      </w:r>
      <w:r w:rsidR="008D7863">
        <w:t>(pouze poplatek na správu)</w:t>
      </w:r>
    </w:p>
    <w:p w:rsidR="00B10B74" w:rsidRDefault="00B10B74" w:rsidP="00B10B7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7 751</w:t>
      </w:r>
    </w:p>
    <w:p w:rsidR="00B10B74" w:rsidRPr="000D5CD2" w:rsidRDefault="00B10B74" w:rsidP="00B10B74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8258D" wp14:editId="6B557A85">
                <wp:simplePos x="0" y="0"/>
                <wp:positionH relativeFrom="column">
                  <wp:posOffset>1534312</wp:posOffset>
                </wp:positionH>
                <wp:positionV relativeFrom="paragraph">
                  <wp:posOffset>67865</wp:posOffset>
                </wp:positionV>
                <wp:extent cx="1203960" cy="0"/>
                <wp:effectExtent l="0" t="0" r="1524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8pt,5.35pt" to="215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7UzgEAAHEDAAAOAAAAZHJzL2Uyb0RvYy54bWysU0tu2zAQ3RfIHQjua8kqGjSC5SxiJJui&#10;NdD0ABOKlFjwBw5r2UfpsgfoKYLeq0NacX67oFpQM5yZp/dmRqvLvTVsJyNq7zq+XNScSSd8r93Q&#10;8e+31+8/cYYJXA/GO9nxg0R+uT57t5pCKxs/etPLyAjEYTuFjo8phbaqUIzSAi58kI6CykcLidw4&#10;VH2EidCtqZq6Pq8mH/sQvZCIdLs5Bvm64CslRfqqFMrETMeJWypnLOddPqv1CtohQhi1mGnAG1hY&#10;0I4+eoLaQAL2M+pXUFaL6NGrtBDeVl4pLWTRQGqW9Qs130YIsmih5mA4tQn/H6z4sttGpvuON5w5&#10;sDSi7d9f93/s/W+Gwf9wxI81uU1TwJayr9w2zh6Gbcya9yra/CY1bF9aezi1Vu4TE3S5bOoPF+c0&#10;AfEQqx4LQ8R0I71l2ei40S6rhhZ2nzHRxyj1ISVfO3+tjSmTM45NBH5Rf8zQQAukDCQybSBJ6AbO&#10;wAy0mSLFAone6D6XZyA84JWJbAe0HLRTvZ9uiS9nBjBRgESUJ6snCs9KM58N4HgsLqE5zbgMLcvu&#10;zfRz647Nytad7w+lh1X2aK4Ffd7BvDhPfbKf/inrfwAAAP//AwBQSwMEFAAGAAgAAAAhAPNykMLe&#10;AAAACQEAAA8AAABkcnMvZG93bnJldi54bWxMj8tOwzAQRfdI/IM1SGwQdRKqgkKcCqgQG4Qg9APc&#10;ePJQ47EVO2n4ewaxgOXMPbpzptgudhAzjqF3pCBdJSCQamd6ahXsP5+v70CEqMnowREq+MIA2/L8&#10;rNC5cSf6wLmKreASCrlW0MXocylD3aHVYeU8EmeNG62OPI6tNKM+cbkdZJYkG2l1T3yh0x6fOqyP&#10;1WQVvO+udsfq7XEJ+9fGT61v4vwyK3V5sTzcg4i4xD8YfvRZHUp2OriJTBCDgmydbhjlILkFwcD6&#10;Js1AHH4Xsizk/w/KbwAAAP//AwBQSwECLQAUAAYACAAAACEAtoM4kv4AAADhAQAAEwAAAAAAAAAA&#10;AAAAAAAAAAAAW0NvbnRlbnRfVHlwZXNdLnhtbFBLAQItABQABgAIAAAAIQA4/SH/1gAAAJQBAAAL&#10;AAAAAAAAAAAAAAAAAC8BAABfcmVscy8ucmVsc1BLAQItABQABgAIAAAAIQDXBr7UzgEAAHEDAAAO&#10;AAAAAAAAAAAAAAAAAC4CAABkcnMvZTJvRG9jLnhtbFBLAQItABQABgAIAAAAIQDzcpDC3gAAAAkB&#10;AAAPAAAAAAAAAAAAAAAAACgEAABkcnMvZG93bnJldi54bWxQSwUGAAAAAAQABADzAAAAMwUAAAAA&#10;" strokecolor="windowText" strokeweight="1.5pt"/>
            </w:pict>
          </mc:Fallback>
        </mc:AlternateContent>
      </w:r>
      <w:r w:rsidRPr="000D5CD2">
        <w:rPr>
          <w:b/>
        </w:rPr>
        <w:t xml:space="preserve">poměrný </w:t>
      </w:r>
      <w:proofErr w:type="gramStart"/>
      <w:r w:rsidRPr="000D5CD2">
        <w:rPr>
          <w:b/>
        </w:rPr>
        <w:t>koeficient</w:t>
      </w:r>
      <w:r>
        <w:rPr>
          <w:b/>
        </w:rPr>
        <w:t xml:space="preserve"> =                                     = 41</w:t>
      </w:r>
      <w:proofErr w:type="gramEnd"/>
      <w:r>
        <w:rPr>
          <w:b/>
        </w:rPr>
        <w:t xml:space="preserve"> %</w:t>
      </w:r>
    </w:p>
    <w:p w:rsidR="00B10B74" w:rsidRDefault="00B10B74" w:rsidP="00B10B7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t xml:space="preserve">11 463 </w:t>
      </w:r>
      <w:r>
        <w:rPr>
          <w:b/>
        </w:rPr>
        <w:t>+ 7</w:t>
      </w:r>
      <w:r w:rsidR="00820032">
        <w:rPr>
          <w:b/>
        </w:rPr>
        <w:t> </w:t>
      </w:r>
      <w:r>
        <w:rPr>
          <w:b/>
        </w:rPr>
        <w:t>751</w:t>
      </w:r>
    </w:p>
    <w:p w:rsidR="00664D58" w:rsidRDefault="00664D58" w:rsidP="00A35D92"/>
    <w:p w:rsidR="00820032" w:rsidRDefault="00820032" w:rsidP="00A35D92"/>
    <w:p w:rsidR="00380068" w:rsidRDefault="00380068" w:rsidP="00A35D92">
      <w:pPr>
        <w:rPr>
          <w:b/>
        </w:rPr>
      </w:pPr>
      <w:r>
        <w:rPr>
          <w:b/>
          <w:u w:val="single"/>
        </w:rPr>
        <w:t>Závěr</w:t>
      </w:r>
      <w:r>
        <w:rPr>
          <w:b/>
        </w:rPr>
        <w:t>:</w:t>
      </w:r>
    </w:p>
    <w:p w:rsidR="00B06984" w:rsidRDefault="00380068" w:rsidP="00A35D92">
      <w:pPr>
        <w:rPr>
          <w:b/>
        </w:rPr>
      </w:pPr>
      <w:r>
        <w:rPr>
          <w:b/>
        </w:rPr>
        <w:t>Hodnota poměrného koeficientu, který vyjadřuje podíl plnění poskytnutých bytovým družstvem v rámci jeho ekonomické činnosti na všech jím poskytnutých plněních, se zpravidla výrazně odlišuje v závislosti na tom, zda se při jeho výpočtu zahrnou veškerá družstvem poskytnutá plnění (výkony všech středisek BD) nebo pouze plnění poskytnutá střediskem správy</w:t>
      </w:r>
      <w:r w:rsidR="00E81D66">
        <w:rPr>
          <w:b/>
        </w:rPr>
        <w:t>.</w:t>
      </w:r>
      <w:r w:rsidR="00E46F7E">
        <w:rPr>
          <w:b/>
        </w:rPr>
        <w:t xml:space="preserve"> </w:t>
      </w:r>
      <w:r w:rsidR="00CE79AD">
        <w:rPr>
          <w:b/>
        </w:rPr>
        <w:t xml:space="preserve">Použití první varianty svědčí skutečnost, že BD je jednou účetní jednotkou – plátcem DPH; poměrný koeficient lze pak logicky použít při odpočtu daně u všech přijatých zdanitelných plnění využitých zčásti pro uskutečnění zdanitelných plnění a zčásti pro plnění uskutečněná družstvem mimo rámec EČ. Na druhé straně </w:t>
      </w:r>
      <w:r w:rsidR="00B06984">
        <w:rPr>
          <w:b/>
        </w:rPr>
        <w:t xml:space="preserve">při použití druhé varianty se vychází z toho, že BD obvykle uplatňuje nárok na odpočet daně pouze u zdanitelných plnění přijatých na středisku správy. Na střediscích bytového hospodářství </w:t>
      </w:r>
      <w:r w:rsidR="00CE79AD">
        <w:rPr>
          <w:b/>
        </w:rPr>
        <w:t>zpravidla</w:t>
      </w:r>
      <w:bookmarkStart w:id="0" w:name="_GoBack"/>
      <w:bookmarkEnd w:id="0"/>
      <w:r w:rsidR="00B06984">
        <w:rPr>
          <w:b/>
        </w:rPr>
        <w:t xml:space="preserve"> odpočet daně na vstupu neuplatňuje, a pokud ano, využívá ke stanovení částečného odpočtu ukazatel plochy bytů a nebytových prostor v daném domě.</w:t>
      </w:r>
    </w:p>
    <w:p w:rsidR="00380068" w:rsidRPr="00380068" w:rsidRDefault="00B06984" w:rsidP="00A35D92">
      <w:pPr>
        <w:rPr>
          <w:b/>
        </w:rPr>
      </w:pPr>
      <w:r>
        <w:rPr>
          <w:b/>
        </w:rPr>
        <w:t>Bylo by vhodné zkonzultovat postup při výpočtu podílu ekonomické činnosti se správcem daně nebo daňovým poradcem.</w:t>
      </w:r>
    </w:p>
    <w:p w:rsidR="00380068" w:rsidRPr="00380068" w:rsidRDefault="00380068" w:rsidP="00A35D92">
      <w:pPr>
        <w:rPr>
          <w:b/>
        </w:rPr>
      </w:pPr>
    </w:p>
    <w:sectPr w:rsidR="00380068" w:rsidRPr="00380068" w:rsidSect="003833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3A" w:rsidRDefault="004E403A" w:rsidP="00D775E3">
      <w:pPr>
        <w:spacing w:after="0"/>
      </w:pPr>
      <w:r>
        <w:separator/>
      </w:r>
    </w:p>
  </w:endnote>
  <w:endnote w:type="continuationSeparator" w:id="0">
    <w:p w:rsidR="004E403A" w:rsidRDefault="004E403A" w:rsidP="00D775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3A" w:rsidRDefault="004E403A" w:rsidP="00D775E3">
      <w:pPr>
        <w:spacing w:after="0"/>
      </w:pPr>
      <w:r>
        <w:separator/>
      </w:r>
    </w:p>
  </w:footnote>
  <w:footnote w:type="continuationSeparator" w:id="0">
    <w:p w:rsidR="004E403A" w:rsidRDefault="004E403A" w:rsidP="00D775E3">
      <w:pPr>
        <w:spacing w:after="0"/>
      </w:pPr>
      <w:r>
        <w:continuationSeparator/>
      </w:r>
    </w:p>
  </w:footnote>
  <w:footnote w:id="1">
    <w:p w:rsidR="00D775E3" w:rsidRDefault="00D775E3">
      <w:pPr>
        <w:pStyle w:val="Textpoznpodarou"/>
      </w:pPr>
      <w:r>
        <w:rPr>
          <w:rStyle w:val="Znakapoznpodarou"/>
        </w:rPr>
        <w:footnoteRef/>
      </w:r>
      <w:r>
        <w:t xml:space="preserve"> EČ není zajišťování správy pro vlastníka bytu nebo garáže – fyzickou osobu, která je členem družstva; v ostatních případech je zajišťování správy pro vlastníka jednotky EČ</w:t>
      </w:r>
      <w:r w:rsidR="00365A9A">
        <w:t>.</w:t>
      </w:r>
    </w:p>
  </w:footnote>
  <w:footnote w:id="2">
    <w:p w:rsidR="00FE1FDD" w:rsidRDefault="00FE1FDD">
      <w:pPr>
        <w:pStyle w:val="Textpoznpodarou"/>
      </w:pPr>
    </w:p>
    <w:p w:rsidR="00D775E3" w:rsidRDefault="00D775E3">
      <w:pPr>
        <w:pStyle w:val="Textpoznpodarou"/>
      </w:pPr>
      <w:r>
        <w:rPr>
          <w:rStyle w:val="Znakapoznpodarou"/>
        </w:rPr>
        <w:footnoteRef/>
      </w:r>
      <w:r>
        <w:t xml:space="preserve"> Údržba a opravy</w:t>
      </w:r>
      <w:r w:rsidR="0072266A">
        <w:t xml:space="preserve"> zprostředkované družstvem, tj. přeúčtované na vlastníka jednotky, příp. na SVJ od třetí osoby na rozvahových účtech (družstvo neúčtuje do svých nákladů a výnosů) nejsou podle § 36 </w:t>
      </w:r>
      <w:proofErr w:type="gramStart"/>
      <w:r w:rsidR="0072266A">
        <w:t>odst.11</w:t>
      </w:r>
      <w:proofErr w:type="gramEnd"/>
      <w:r w:rsidR="0072266A">
        <w:t xml:space="preserve"> ZDPH předmětem daně a neovlivňují výpočet poměrného koeficientu).</w:t>
      </w:r>
    </w:p>
  </w:footnote>
  <w:footnote w:id="3">
    <w:p w:rsidR="0072266A" w:rsidRDefault="0072266A">
      <w:pPr>
        <w:pStyle w:val="Textpoznpodarou"/>
      </w:pPr>
      <w:r>
        <w:rPr>
          <w:rStyle w:val="Znakapoznpodarou"/>
        </w:rPr>
        <w:footnoteRef/>
      </w:r>
      <w:r>
        <w:t xml:space="preserve"> EČ není poskytování služeb spojených s užíváním jednotky vlastníkovi bytu nebo garáže – fyzické osobě, která je členem </w:t>
      </w:r>
      <w:r w:rsidR="001C1541">
        <w:t>BD</w:t>
      </w:r>
      <w:r>
        <w:t>; v ostatních případech a v případě dodávky tepla se jedná o EČ</w:t>
      </w:r>
      <w:r w:rsidR="00365A9A">
        <w:t>.</w:t>
      </w:r>
    </w:p>
  </w:footnote>
  <w:footnote w:id="4">
    <w:p w:rsidR="00FE1FDD" w:rsidRDefault="00FE1FDD">
      <w:pPr>
        <w:pStyle w:val="Textpoznpodarou"/>
      </w:pPr>
    </w:p>
    <w:p w:rsidR="00DD4C79" w:rsidRDefault="00DD4C79">
      <w:pPr>
        <w:pStyle w:val="Textpoznpodarou"/>
      </w:pPr>
      <w:r>
        <w:rPr>
          <w:rStyle w:val="Znakapoznpodarou"/>
        </w:rPr>
        <w:footnoteRef/>
      </w:r>
      <w:r>
        <w:t xml:space="preserve"> Nájem poskytovaný jako zdanitelné plnění (</w:t>
      </w:r>
      <w:r w:rsidR="001C1541">
        <w:t>BD</w:t>
      </w:r>
      <w:r>
        <w:t xml:space="preserve"> se podle § 56 odst. 4 ZDPH</w:t>
      </w:r>
      <w:r w:rsidR="00FE1FDD">
        <w:t xml:space="preserve"> </w:t>
      </w:r>
      <w:proofErr w:type="gramStart"/>
      <w:r>
        <w:t>rozhodlo  uplatňovat</w:t>
      </w:r>
      <w:proofErr w:type="gramEnd"/>
      <w:r w:rsidR="00FE1FDD">
        <w:t xml:space="preserve"> </w:t>
      </w:r>
      <w:r>
        <w:t>u nájemného daň)</w:t>
      </w:r>
      <w:r w:rsidR="00365A9A">
        <w:t>.</w:t>
      </w:r>
      <w:r>
        <w:t xml:space="preserve"> </w:t>
      </w:r>
    </w:p>
  </w:footnote>
  <w:footnote w:id="5">
    <w:p w:rsidR="00FE1FDD" w:rsidRDefault="00FE1FDD" w:rsidP="00DD4C79">
      <w:pPr>
        <w:pStyle w:val="Textpoznpodarou"/>
      </w:pPr>
    </w:p>
    <w:p w:rsidR="00DD4C79" w:rsidRDefault="00DD4C79" w:rsidP="00DD4C79">
      <w:pPr>
        <w:pStyle w:val="Textpoznpodarou"/>
      </w:pPr>
      <w:r>
        <w:rPr>
          <w:rStyle w:val="Znakapoznpodarou"/>
        </w:rPr>
        <w:footnoteRef/>
      </w:r>
      <w:r>
        <w:t xml:space="preserve"> EČ není nájem bytu fyzické osobě, která je členem </w:t>
      </w:r>
      <w:r w:rsidR="001C1541">
        <w:t>BD</w:t>
      </w:r>
      <w:r>
        <w:t xml:space="preserve">; v ostatních případech je </w:t>
      </w:r>
      <w:r w:rsidR="00FE1FDD">
        <w:t>nájem bytu</w:t>
      </w:r>
      <w:r>
        <w:t xml:space="preserve"> EČ</w:t>
      </w:r>
    </w:p>
    <w:p w:rsidR="00DD4C79" w:rsidRDefault="00DD4C79">
      <w:pPr>
        <w:pStyle w:val="Textpoznpodarou"/>
      </w:pPr>
    </w:p>
  </w:footnote>
  <w:footnote w:id="6">
    <w:p w:rsidR="00FE1FDD" w:rsidRDefault="00FE1FDD" w:rsidP="00FE1FDD">
      <w:pPr>
        <w:pStyle w:val="Textpoznpodarou"/>
      </w:pPr>
      <w:r>
        <w:rPr>
          <w:rStyle w:val="Znakapoznpodarou"/>
        </w:rPr>
        <w:footnoteRef/>
      </w:r>
      <w:r>
        <w:t xml:space="preserve"> Pojistné přeúčtovává </w:t>
      </w:r>
      <w:r w:rsidR="001C1541">
        <w:t>BD</w:t>
      </w:r>
      <w:r>
        <w:t xml:space="preserve"> na vlastníky jednotek a SVJ na výsledkových účtech (účtuje do nákladů a výnosů), tj. nepostupuje podle § 36 odst. 11 ZDPH – poskytuje vlastní plnění, které je v uvedeném případě plněním v rámci EČ (není zajišťováno v rámci správy domu pro vlastníka bytu nebo garáže – fyzickou osobu, která je členem </w:t>
      </w:r>
      <w:r w:rsidR="001C1541">
        <w:t>BD</w:t>
      </w:r>
      <w:r>
        <w:t>)</w:t>
      </w:r>
      <w:r w:rsidR="00022148">
        <w:t xml:space="preserve"> osvobozeným od daně podle § 55 ZDPH</w:t>
      </w:r>
      <w:r w:rsidR="00365A9A">
        <w:t>.</w:t>
      </w:r>
      <w:r w:rsidR="0038339B">
        <w:t xml:space="preserve"> Pokud by při přeúčtování pojistného postupovalo </w:t>
      </w:r>
      <w:r w:rsidR="001C1541">
        <w:t>BD</w:t>
      </w:r>
      <w:r w:rsidR="0038339B">
        <w:t xml:space="preserve"> podle § 36 odst. 11 ZDPH, nemělo by pojistné žádný vliv na výpočet poměrného koeficientu.</w:t>
      </w:r>
    </w:p>
    <w:p w:rsidR="00FE1FDD" w:rsidRDefault="00FE1FDD">
      <w:pPr>
        <w:pStyle w:val="Textpoznpodarou"/>
      </w:pPr>
    </w:p>
  </w:footnote>
  <w:footnote w:id="7">
    <w:p w:rsidR="0000419F" w:rsidRDefault="0000419F">
      <w:pPr>
        <w:pStyle w:val="Textpoznpodarou"/>
      </w:pPr>
      <w:r>
        <w:rPr>
          <w:rStyle w:val="Znakapoznpodarou"/>
        </w:rPr>
        <w:footnoteRef/>
      </w:r>
      <w:r>
        <w:t xml:space="preserve"> Nájem bytů a garáží fyzickým osobám členům </w:t>
      </w:r>
      <w:r w:rsidR="001C1541">
        <w:t>BD</w:t>
      </w:r>
      <w:r w:rsidR="00365A9A">
        <w:t>.</w:t>
      </w:r>
    </w:p>
  </w:footnote>
  <w:footnote w:id="8">
    <w:p w:rsidR="00A431D8" w:rsidRDefault="00A431D8">
      <w:pPr>
        <w:pStyle w:val="Textpoznpodarou"/>
      </w:pPr>
    </w:p>
    <w:p w:rsidR="0000419F" w:rsidRDefault="000041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431D8">
        <w:t xml:space="preserve">Do poměrného koeficientu </w:t>
      </w:r>
      <w:r w:rsidR="00837B1E">
        <w:t>doporučuji zahrnout</w:t>
      </w:r>
      <w:r w:rsidR="00A431D8">
        <w:t xml:space="preserve"> nikoliv předpis zálohového nájemného, ale </w:t>
      </w:r>
      <w:r w:rsidR="00837B1E">
        <w:t xml:space="preserve">skutečné </w:t>
      </w:r>
      <w:r w:rsidR="00A431D8">
        <w:t xml:space="preserve">čerpání </w:t>
      </w:r>
      <w:r w:rsidR="00837B1E">
        <w:t xml:space="preserve">zálohy </w:t>
      </w:r>
      <w:r>
        <w:t>na úhradu nákladů</w:t>
      </w:r>
      <w:r w:rsidR="00837B1E">
        <w:t>, příp.</w:t>
      </w:r>
      <w:r>
        <w:t xml:space="preserve"> výdajů, které </w:t>
      </w:r>
      <w:r w:rsidR="00837B1E">
        <w:t xml:space="preserve">účetně </w:t>
      </w:r>
      <w:r>
        <w:t>náklady nejsou</w:t>
      </w:r>
      <w:r w:rsidR="00A431D8">
        <w:t xml:space="preserve"> (např. úmor z úroku </w:t>
      </w:r>
      <w:r w:rsidR="00837B1E">
        <w:t xml:space="preserve">z </w:t>
      </w:r>
      <w:r w:rsidR="00A431D8">
        <w:t xml:space="preserve">úvěru na DBV nebo </w:t>
      </w:r>
      <w:r w:rsidR="00837B1E">
        <w:t xml:space="preserve">z </w:t>
      </w:r>
      <w:r w:rsidR="00A431D8">
        <w:t>jiného typu úvěru, výdaj</w:t>
      </w:r>
      <w:r w:rsidR="00837B1E">
        <w:t>e</w:t>
      </w:r>
      <w:r w:rsidR="00A431D8">
        <w:t xml:space="preserve"> na technické zhodnocení domu, jsou-li hrazeny z nájemného - dlouhodobé zálohy a ne dalším členským vkladem</w:t>
      </w:r>
      <w:r w:rsidR="00837B1E">
        <w:t xml:space="preserve"> člena nájemce</w:t>
      </w:r>
      <w:r w:rsidR="00A431D8">
        <w:t>)</w:t>
      </w:r>
      <w:r w:rsidR="00C115B8">
        <w:t>.</w:t>
      </w:r>
      <w:r w:rsidR="00837B1E">
        <w:t xml:space="preserve"> </w:t>
      </w:r>
      <w:r w:rsidR="00C115B8">
        <w:t>P</w:t>
      </w:r>
      <w:r w:rsidR="00837B1E">
        <w:t>oužit</w:t>
      </w:r>
      <w:r w:rsidR="00B775C7">
        <w:t>í</w:t>
      </w:r>
      <w:r w:rsidR="00837B1E">
        <w:t xml:space="preserve"> zálohové</w:t>
      </w:r>
      <w:r w:rsidR="00B775C7">
        <w:t>ho</w:t>
      </w:r>
      <w:r w:rsidR="00837B1E">
        <w:t xml:space="preserve"> nájemné</w:t>
      </w:r>
      <w:r w:rsidR="00B775C7">
        <w:t>ho</w:t>
      </w:r>
      <w:r w:rsidR="00A431D8">
        <w:t xml:space="preserve"> </w:t>
      </w:r>
      <w:r w:rsidR="00837B1E">
        <w:t xml:space="preserve">lépe </w:t>
      </w:r>
      <w:r w:rsidR="00C115B8">
        <w:t xml:space="preserve">vyjadřuje okamžik uskutečnění plnění; nevyčerpaná záloha navíc může být v budoucnu </w:t>
      </w:r>
      <w:r w:rsidR="00B775C7">
        <w:t xml:space="preserve">při převodu jednotky </w:t>
      </w:r>
      <w:r w:rsidR="00C115B8">
        <w:t>vypořádána s nájemcem, resp. s SVJ (fakticky se tak tato záloha nikdy nájemným</w:t>
      </w:r>
      <w:r w:rsidR="00B775C7" w:rsidRPr="00B775C7">
        <w:t xml:space="preserve"> </w:t>
      </w:r>
      <w:r w:rsidR="00B775C7">
        <w:t>nestane</w:t>
      </w:r>
      <w:r w:rsidR="00C115B8">
        <w:t>).</w:t>
      </w:r>
    </w:p>
  </w:footnote>
  <w:footnote w:id="9">
    <w:p w:rsidR="00365A9A" w:rsidRDefault="00365A9A">
      <w:pPr>
        <w:pStyle w:val="Textpoznpodarou"/>
      </w:pPr>
    </w:p>
    <w:p w:rsidR="00365A9A" w:rsidRDefault="00365A9A">
      <w:pPr>
        <w:pStyle w:val="Textpoznpodarou"/>
      </w:pPr>
      <w:r>
        <w:rPr>
          <w:rStyle w:val="Znakapoznpodarou"/>
        </w:rPr>
        <w:footnoteRef/>
      </w:r>
      <w:r>
        <w:t xml:space="preserve"> EČ není zajišťování správy pro vlastníka bytu nebo garáže – fyzickou osobu, která je členem </w:t>
      </w:r>
      <w:r w:rsidR="001C1541">
        <w:t>BD</w:t>
      </w:r>
      <w:r>
        <w:t>.</w:t>
      </w:r>
    </w:p>
  </w:footnote>
  <w:footnote w:id="10">
    <w:p w:rsidR="0038339B" w:rsidRDefault="0038339B">
      <w:pPr>
        <w:pStyle w:val="Textpoznpodarou"/>
      </w:pPr>
      <w:r>
        <w:rPr>
          <w:rStyle w:val="Znakapoznpodarou"/>
        </w:rPr>
        <w:footnoteRef/>
      </w:r>
      <w:r>
        <w:t xml:space="preserve"> EČ není poskytování služeb spojených s užíváním jednotky vlastníkovi bytu nebo garáže – fyzické osobě, která je členem družstva.</w:t>
      </w:r>
    </w:p>
  </w:footnote>
  <w:footnote w:id="11">
    <w:p w:rsidR="0038339B" w:rsidRDefault="0038339B">
      <w:pPr>
        <w:pStyle w:val="Textpoznpodarou"/>
      </w:pPr>
    </w:p>
    <w:p w:rsidR="0038339B" w:rsidRDefault="0038339B" w:rsidP="0038339B">
      <w:pPr>
        <w:pStyle w:val="Textpoznpodarou"/>
      </w:pPr>
      <w:r>
        <w:rPr>
          <w:rStyle w:val="Znakapoznpodarou"/>
        </w:rPr>
        <w:footnoteRef/>
      </w:r>
      <w:r>
        <w:t xml:space="preserve"> Pojistné přeúčtovává družstvo na vlastníky jednotek na výsledkových účtech (účtuje do nákladů a výnosů), tj. nepostupuje podle § 36 odst. 11 ZDPH – poskytuje vlastní plnění, které je v uvedeném případě plněním poskytovaným mimo rámec EČ (je zajišťováno v rámci správy domu pro vlastníka bytu nebo garáže – fyzickou osobu, která je členem družstva). Pokud by při přeúčtování pojistného postupovalo družstvo podle § 36 odst. 11 ZDPH, nemělo by pojistné žádný vliv na výpočet poměrného koeficientu.</w:t>
      </w:r>
    </w:p>
    <w:p w:rsidR="0038339B" w:rsidRDefault="0038339B">
      <w:pPr>
        <w:pStyle w:val="Textpoznpodarou"/>
      </w:pPr>
    </w:p>
  </w:footnote>
  <w:footnote w:id="12">
    <w:p w:rsidR="0038339B" w:rsidRDefault="0038339B">
      <w:pPr>
        <w:pStyle w:val="Textpoznpodarou"/>
      </w:pPr>
      <w:r>
        <w:rPr>
          <w:rStyle w:val="Znakapoznpodarou"/>
        </w:rPr>
        <w:footnoteRef/>
      </w:r>
      <w:r>
        <w:t xml:space="preserve"> Jedná se o úpl</w:t>
      </w:r>
      <w:r w:rsidR="001A4788">
        <w:t>atné převody majetku; bezúplatné</w:t>
      </w:r>
      <w:r>
        <w:t xml:space="preserve"> převod</w:t>
      </w:r>
      <w:r w:rsidR="001A4788">
        <w:t>y</w:t>
      </w:r>
      <w:r w:rsidR="00012FA8">
        <w:t xml:space="preserve"> jednotek a pozemků</w:t>
      </w:r>
      <w:r>
        <w:t xml:space="preserve"> </w:t>
      </w:r>
      <w:r w:rsidR="001A4788">
        <w:t>výpočet poměrného koeficientu neovlivní.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3B8"/>
    <w:multiLevelType w:val="hybridMultilevel"/>
    <w:tmpl w:val="EB34C166"/>
    <w:lvl w:ilvl="0" w:tplc="1CEA9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F236C"/>
    <w:multiLevelType w:val="hybridMultilevel"/>
    <w:tmpl w:val="3BBC031C"/>
    <w:lvl w:ilvl="0" w:tplc="1CEA9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23A56"/>
    <w:multiLevelType w:val="hybridMultilevel"/>
    <w:tmpl w:val="6ADE1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238A8"/>
    <w:multiLevelType w:val="hybridMultilevel"/>
    <w:tmpl w:val="7DB4BEDA"/>
    <w:lvl w:ilvl="0" w:tplc="1CEA9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E4758"/>
    <w:multiLevelType w:val="hybridMultilevel"/>
    <w:tmpl w:val="7E38AC50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51380F7B"/>
    <w:multiLevelType w:val="hybridMultilevel"/>
    <w:tmpl w:val="7DBAEC5E"/>
    <w:lvl w:ilvl="0" w:tplc="4AECB2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00"/>
    <w:rsid w:val="0000419F"/>
    <w:rsid w:val="00012FA8"/>
    <w:rsid w:val="00012FCB"/>
    <w:rsid w:val="0001318B"/>
    <w:rsid w:val="00017786"/>
    <w:rsid w:val="00022148"/>
    <w:rsid w:val="00025CDB"/>
    <w:rsid w:val="000412CA"/>
    <w:rsid w:val="00050F6F"/>
    <w:rsid w:val="0005756E"/>
    <w:rsid w:val="00061336"/>
    <w:rsid w:val="00072EDA"/>
    <w:rsid w:val="0007354C"/>
    <w:rsid w:val="0007594B"/>
    <w:rsid w:val="000815CF"/>
    <w:rsid w:val="00085B8C"/>
    <w:rsid w:val="000B1218"/>
    <w:rsid w:val="000C3855"/>
    <w:rsid w:val="000D5CD2"/>
    <w:rsid w:val="000E64BF"/>
    <w:rsid w:val="0010256B"/>
    <w:rsid w:val="001074AB"/>
    <w:rsid w:val="00122F37"/>
    <w:rsid w:val="00123577"/>
    <w:rsid w:val="00124338"/>
    <w:rsid w:val="00143672"/>
    <w:rsid w:val="00151DD3"/>
    <w:rsid w:val="00152A8A"/>
    <w:rsid w:val="00160342"/>
    <w:rsid w:val="00166238"/>
    <w:rsid w:val="001875AF"/>
    <w:rsid w:val="00192196"/>
    <w:rsid w:val="001A4788"/>
    <w:rsid w:val="001A6D0A"/>
    <w:rsid w:val="001B0269"/>
    <w:rsid w:val="001B2346"/>
    <w:rsid w:val="001C1541"/>
    <w:rsid w:val="001D1B23"/>
    <w:rsid w:val="001D3823"/>
    <w:rsid w:val="001E220B"/>
    <w:rsid w:val="001E7E7C"/>
    <w:rsid w:val="001F6C6A"/>
    <w:rsid w:val="0021289E"/>
    <w:rsid w:val="002204E1"/>
    <w:rsid w:val="002221EE"/>
    <w:rsid w:val="00226504"/>
    <w:rsid w:val="0024745A"/>
    <w:rsid w:val="002528A2"/>
    <w:rsid w:val="002565CC"/>
    <w:rsid w:val="002640BC"/>
    <w:rsid w:val="00284924"/>
    <w:rsid w:val="00291291"/>
    <w:rsid w:val="002A1020"/>
    <w:rsid w:val="002A5C3C"/>
    <w:rsid w:val="002A7262"/>
    <w:rsid w:val="002B24BC"/>
    <w:rsid w:val="002B48F3"/>
    <w:rsid w:val="002C16B7"/>
    <w:rsid w:val="002D566B"/>
    <w:rsid w:val="002D6B90"/>
    <w:rsid w:val="002E0AF6"/>
    <w:rsid w:val="002F3728"/>
    <w:rsid w:val="002F65DA"/>
    <w:rsid w:val="00303FDF"/>
    <w:rsid w:val="00314FF2"/>
    <w:rsid w:val="00331835"/>
    <w:rsid w:val="00342558"/>
    <w:rsid w:val="0034572E"/>
    <w:rsid w:val="00351892"/>
    <w:rsid w:val="00357058"/>
    <w:rsid w:val="00361ACD"/>
    <w:rsid w:val="00365A9A"/>
    <w:rsid w:val="00367D00"/>
    <w:rsid w:val="00371ADE"/>
    <w:rsid w:val="00380068"/>
    <w:rsid w:val="00382CAF"/>
    <w:rsid w:val="0038339B"/>
    <w:rsid w:val="00391FF2"/>
    <w:rsid w:val="00395A07"/>
    <w:rsid w:val="003A0660"/>
    <w:rsid w:val="003A7E15"/>
    <w:rsid w:val="003B0415"/>
    <w:rsid w:val="003B7834"/>
    <w:rsid w:val="003C0BAD"/>
    <w:rsid w:val="003C4D2C"/>
    <w:rsid w:val="003C5F80"/>
    <w:rsid w:val="003C6150"/>
    <w:rsid w:val="003C6298"/>
    <w:rsid w:val="003E105B"/>
    <w:rsid w:val="003E4588"/>
    <w:rsid w:val="003E5975"/>
    <w:rsid w:val="003E5D15"/>
    <w:rsid w:val="003F08FA"/>
    <w:rsid w:val="003F0F75"/>
    <w:rsid w:val="00407B14"/>
    <w:rsid w:val="00407B71"/>
    <w:rsid w:val="0041164E"/>
    <w:rsid w:val="004141FD"/>
    <w:rsid w:val="004231C9"/>
    <w:rsid w:val="0042323C"/>
    <w:rsid w:val="00425AB7"/>
    <w:rsid w:val="004265D9"/>
    <w:rsid w:val="004311B7"/>
    <w:rsid w:val="00433B86"/>
    <w:rsid w:val="00436E91"/>
    <w:rsid w:val="00443B72"/>
    <w:rsid w:val="00454CDF"/>
    <w:rsid w:val="00464D8A"/>
    <w:rsid w:val="00495ADE"/>
    <w:rsid w:val="004A1504"/>
    <w:rsid w:val="004A6707"/>
    <w:rsid w:val="004B2B28"/>
    <w:rsid w:val="004C5360"/>
    <w:rsid w:val="004E2196"/>
    <w:rsid w:val="004E2418"/>
    <w:rsid w:val="004E403A"/>
    <w:rsid w:val="004F1624"/>
    <w:rsid w:val="004F3E86"/>
    <w:rsid w:val="004F424F"/>
    <w:rsid w:val="005064B5"/>
    <w:rsid w:val="0051011F"/>
    <w:rsid w:val="00521EE9"/>
    <w:rsid w:val="00523D4E"/>
    <w:rsid w:val="0052718F"/>
    <w:rsid w:val="00535096"/>
    <w:rsid w:val="0054697D"/>
    <w:rsid w:val="00553231"/>
    <w:rsid w:val="005558FD"/>
    <w:rsid w:val="00573DFA"/>
    <w:rsid w:val="00582C3B"/>
    <w:rsid w:val="005A3EA7"/>
    <w:rsid w:val="005B1B7F"/>
    <w:rsid w:val="005C5414"/>
    <w:rsid w:val="005D3D6C"/>
    <w:rsid w:val="005F01E8"/>
    <w:rsid w:val="005F3134"/>
    <w:rsid w:val="005F662C"/>
    <w:rsid w:val="005F67A0"/>
    <w:rsid w:val="00613E1F"/>
    <w:rsid w:val="006146F6"/>
    <w:rsid w:val="00616D6F"/>
    <w:rsid w:val="00624046"/>
    <w:rsid w:val="00624EB4"/>
    <w:rsid w:val="00634100"/>
    <w:rsid w:val="00634D48"/>
    <w:rsid w:val="00634DE6"/>
    <w:rsid w:val="0064690F"/>
    <w:rsid w:val="00656628"/>
    <w:rsid w:val="0066137A"/>
    <w:rsid w:val="00664D58"/>
    <w:rsid w:val="0066659F"/>
    <w:rsid w:val="00672318"/>
    <w:rsid w:val="00674F8E"/>
    <w:rsid w:val="006853F3"/>
    <w:rsid w:val="00694540"/>
    <w:rsid w:val="006B317B"/>
    <w:rsid w:val="006B753B"/>
    <w:rsid w:val="006D0884"/>
    <w:rsid w:val="006D36E8"/>
    <w:rsid w:val="006E3656"/>
    <w:rsid w:val="006E71DA"/>
    <w:rsid w:val="006F6A5F"/>
    <w:rsid w:val="00701716"/>
    <w:rsid w:val="00707DC4"/>
    <w:rsid w:val="00717FB7"/>
    <w:rsid w:val="0072266A"/>
    <w:rsid w:val="00727CAF"/>
    <w:rsid w:val="007303B0"/>
    <w:rsid w:val="00733A53"/>
    <w:rsid w:val="0073641E"/>
    <w:rsid w:val="007446A2"/>
    <w:rsid w:val="00752C99"/>
    <w:rsid w:val="00760956"/>
    <w:rsid w:val="0076167A"/>
    <w:rsid w:val="007672A2"/>
    <w:rsid w:val="00776DE6"/>
    <w:rsid w:val="007777B1"/>
    <w:rsid w:val="00780B8F"/>
    <w:rsid w:val="00783439"/>
    <w:rsid w:val="00793F29"/>
    <w:rsid w:val="0079551F"/>
    <w:rsid w:val="007B2774"/>
    <w:rsid w:val="007C0180"/>
    <w:rsid w:val="007C7695"/>
    <w:rsid w:val="007D0163"/>
    <w:rsid w:val="007D5D8E"/>
    <w:rsid w:val="007F1DF6"/>
    <w:rsid w:val="007F646C"/>
    <w:rsid w:val="00800A83"/>
    <w:rsid w:val="00802FF3"/>
    <w:rsid w:val="00805D01"/>
    <w:rsid w:val="00812336"/>
    <w:rsid w:val="00820032"/>
    <w:rsid w:val="008267C5"/>
    <w:rsid w:val="008312D5"/>
    <w:rsid w:val="00837B1E"/>
    <w:rsid w:val="008444C2"/>
    <w:rsid w:val="0086059C"/>
    <w:rsid w:val="00881C13"/>
    <w:rsid w:val="00887D12"/>
    <w:rsid w:val="008930AB"/>
    <w:rsid w:val="008D2CCA"/>
    <w:rsid w:val="008D63C4"/>
    <w:rsid w:val="008D7863"/>
    <w:rsid w:val="008E465E"/>
    <w:rsid w:val="008F12E0"/>
    <w:rsid w:val="009008AD"/>
    <w:rsid w:val="00903C70"/>
    <w:rsid w:val="00906368"/>
    <w:rsid w:val="009125F4"/>
    <w:rsid w:val="00916B52"/>
    <w:rsid w:val="00920A11"/>
    <w:rsid w:val="00927051"/>
    <w:rsid w:val="00930AD5"/>
    <w:rsid w:val="00941A39"/>
    <w:rsid w:val="00943ABD"/>
    <w:rsid w:val="00944828"/>
    <w:rsid w:val="009506FE"/>
    <w:rsid w:val="009604DB"/>
    <w:rsid w:val="00970282"/>
    <w:rsid w:val="00980D89"/>
    <w:rsid w:val="0098292F"/>
    <w:rsid w:val="009856E9"/>
    <w:rsid w:val="00995818"/>
    <w:rsid w:val="009A4B0F"/>
    <w:rsid w:val="009B42D9"/>
    <w:rsid w:val="009B779C"/>
    <w:rsid w:val="009C2C74"/>
    <w:rsid w:val="009C355E"/>
    <w:rsid w:val="009D12A4"/>
    <w:rsid w:val="009D775B"/>
    <w:rsid w:val="009E6AE2"/>
    <w:rsid w:val="009E7099"/>
    <w:rsid w:val="009F6A4D"/>
    <w:rsid w:val="00A0525B"/>
    <w:rsid w:val="00A11963"/>
    <w:rsid w:val="00A22CDB"/>
    <w:rsid w:val="00A266C4"/>
    <w:rsid w:val="00A347BF"/>
    <w:rsid w:val="00A35D92"/>
    <w:rsid w:val="00A431D8"/>
    <w:rsid w:val="00A50266"/>
    <w:rsid w:val="00A71D05"/>
    <w:rsid w:val="00A726F4"/>
    <w:rsid w:val="00A74954"/>
    <w:rsid w:val="00A770F7"/>
    <w:rsid w:val="00A83A26"/>
    <w:rsid w:val="00A91779"/>
    <w:rsid w:val="00AC4AC0"/>
    <w:rsid w:val="00AD5408"/>
    <w:rsid w:val="00AD5979"/>
    <w:rsid w:val="00AE69A0"/>
    <w:rsid w:val="00AF2D48"/>
    <w:rsid w:val="00AF6C37"/>
    <w:rsid w:val="00B01E7A"/>
    <w:rsid w:val="00B06984"/>
    <w:rsid w:val="00B10B74"/>
    <w:rsid w:val="00B1488C"/>
    <w:rsid w:val="00B23373"/>
    <w:rsid w:val="00B278C7"/>
    <w:rsid w:val="00B351B6"/>
    <w:rsid w:val="00B37521"/>
    <w:rsid w:val="00B64042"/>
    <w:rsid w:val="00B64402"/>
    <w:rsid w:val="00B73BA5"/>
    <w:rsid w:val="00B775C7"/>
    <w:rsid w:val="00B83473"/>
    <w:rsid w:val="00B91367"/>
    <w:rsid w:val="00BA0ABE"/>
    <w:rsid w:val="00BA3E1D"/>
    <w:rsid w:val="00BC76FA"/>
    <w:rsid w:val="00BD6E70"/>
    <w:rsid w:val="00C04C1F"/>
    <w:rsid w:val="00C115B8"/>
    <w:rsid w:val="00C310C6"/>
    <w:rsid w:val="00C33E3F"/>
    <w:rsid w:val="00C4771D"/>
    <w:rsid w:val="00C57534"/>
    <w:rsid w:val="00C57CF0"/>
    <w:rsid w:val="00C61DCE"/>
    <w:rsid w:val="00C73415"/>
    <w:rsid w:val="00C8439A"/>
    <w:rsid w:val="00C868E6"/>
    <w:rsid w:val="00C90B7F"/>
    <w:rsid w:val="00CB001F"/>
    <w:rsid w:val="00CB1B9E"/>
    <w:rsid w:val="00CB78C3"/>
    <w:rsid w:val="00CC6A82"/>
    <w:rsid w:val="00CD1851"/>
    <w:rsid w:val="00CD4A9A"/>
    <w:rsid w:val="00CE465F"/>
    <w:rsid w:val="00CE79AD"/>
    <w:rsid w:val="00CF7465"/>
    <w:rsid w:val="00D02EBC"/>
    <w:rsid w:val="00D16722"/>
    <w:rsid w:val="00D20CBE"/>
    <w:rsid w:val="00D24409"/>
    <w:rsid w:val="00D30CCD"/>
    <w:rsid w:val="00D36C65"/>
    <w:rsid w:val="00D42EA2"/>
    <w:rsid w:val="00D44761"/>
    <w:rsid w:val="00D62D65"/>
    <w:rsid w:val="00D775E3"/>
    <w:rsid w:val="00D859CB"/>
    <w:rsid w:val="00D87234"/>
    <w:rsid w:val="00D93837"/>
    <w:rsid w:val="00D96A26"/>
    <w:rsid w:val="00DB11D6"/>
    <w:rsid w:val="00DC64FA"/>
    <w:rsid w:val="00DC740C"/>
    <w:rsid w:val="00DD4C79"/>
    <w:rsid w:val="00DE1916"/>
    <w:rsid w:val="00DE4B82"/>
    <w:rsid w:val="00DE55B6"/>
    <w:rsid w:val="00DF3105"/>
    <w:rsid w:val="00E46F7E"/>
    <w:rsid w:val="00E51BB0"/>
    <w:rsid w:val="00E6071C"/>
    <w:rsid w:val="00E81D66"/>
    <w:rsid w:val="00ED7A7C"/>
    <w:rsid w:val="00F20134"/>
    <w:rsid w:val="00F21F03"/>
    <w:rsid w:val="00F344DD"/>
    <w:rsid w:val="00F37986"/>
    <w:rsid w:val="00F51581"/>
    <w:rsid w:val="00F603FA"/>
    <w:rsid w:val="00F65B1A"/>
    <w:rsid w:val="00F742E5"/>
    <w:rsid w:val="00F82B83"/>
    <w:rsid w:val="00F924C3"/>
    <w:rsid w:val="00F9749C"/>
    <w:rsid w:val="00FA7E49"/>
    <w:rsid w:val="00FB2BCE"/>
    <w:rsid w:val="00FB3339"/>
    <w:rsid w:val="00FB44FD"/>
    <w:rsid w:val="00FC70A6"/>
    <w:rsid w:val="00FC7715"/>
    <w:rsid w:val="00FE1FDD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746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775E3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775E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775E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75E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75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75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746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775E3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775E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775E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75E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75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7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C5ED-1111-48E2-9384-8E3D3418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4</Pages>
  <Words>1094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svaz</dc:creator>
  <cp:lastModifiedBy>svaz</cp:lastModifiedBy>
  <cp:revision>27</cp:revision>
  <dcterms:created xsi:type="dcterms:W3CDTF">2012-07-25T07:51:00Z</dcterms:created>
  <dcterms:modified xsi:type="dcterms:W3CDTF">2012-08-09T09:59:00Z</dcterms:modified>
</cp:coreProperties>
</file>