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116EB" w14:textId="3CD419DA" w:rsidR="00DF1377" w:rsidRPr="00DF1377" w:rsidRDefault="00832FBA" w:rsidP="00DF1377">
      <w:pPr>
        <w:rPr>
          <w:b/>
          <w:bCs/>
          <w:u w:val="single"/>
        </w:rPr>
      </w:pPr>
      <w:r>
        <w:rPr>
          <w:b/>
          <w:bCs/>
          <w:u w:val="single"/>
        </w:rPr>
        <w:t>Z</w:t>
      </w:r>
      <w:r w:rsidR="00DF1377" w:rsidRPr="00DF1377">
        <w:rPr>
          <w:b/>
          <w:bCs/>
          <w:u w:val="single"/>
        </w:rPr>
        <w:t>měn</w:t>
      </w:r>
      <w:r>
        <w:rPr>
          <w:b/>
          <w:bCs/>
          <w:u w:val="single"/>
        </w:rPr>
        <w:t>a</w:t>
      </w:r>
      <w:r w:rsidR="00DF1377" w:rsidRPr="00DF1377">
        <w:rPr>
          <w:b/>
          <w:bCs/>
          <w:u w:val="single"/>
        </w:rPr>
        <w:t xml:space="preserve"> </w:t>
      </w:r>
      <w:r w:rsidR="00DF1377" w:rsidRPr="00DF1377">
        <w:rPr>
          <w:b/>
          <w:bCs/>
          <w:u w:val="single"/>
        </w:rPr>
        <w:t>da</w:t>
      </w:r>
      <w:r>
        <w:rPr>
          <w:b/>
          <w:bCs/>
          <w:u w:val="single"/>
        </w:rPr>
        <w:t>ně</w:t>
      </w:r>
      <w:r w:rsidR="00DF1377" w:rsidRPr="00DF1377">
        <w:rPr>
          <w:b/>
          <w:bCs/>
          <w:u w:val="single"/>
        </w:rPr>
        <w:t xml:space="preserve"> z nemovitých věcí na rok 2020</w:t>
      </w:r>
      <w:r>
        <w:rPr>
          <w:b/>
          <w:bCs/>
          <w:u w:val="single"/>
        </w:rPr>
        <w:t xml:space="preserve"> v Praze</w:t>
      </w:r>
    </w:p>
    <w:p w14:paraId="18AAD794" w14:textId="0BD8057B" w:rsidR="00DF1377" w:rsidRDefault="00DF1377" w:rsidP="00DF1377">
      <w:r>
        <w:t xml:space="preserve">Naposledy se v Praze měnila vyhláška, která určuje koeficienty pro výpočet daně z nemovitých věcí, v roce 2002. Tehdy zastupitelstvo stanovilo, že základní velikostní koeficient </w:t>
      </w:r>
      <w:r w:rsidR="00457B4D">
        <w:t xml:space="preserve">(§ </w:t>
      </w:r>
      <w:r w:rsidR="00F96AB2">
        <w:t xml:space="preserve">6 odst. 4 </w:t>
      </w:r>
      <w:r w:rsidR="006B44F5">
        <w:t xml:space="preserve">zákona o dani z nemovitých věcí) </w:t>
      </w:r>
      <w:r>
        <w:t xml:space="preserve">bude činit 5 (tedy maximum), a to jak u pozemků, tak u staveb. Od roku 2009 si obce </w:t>
      </w:r>
      <w:r w:rsidR="006B44F5">
        <w:t>mohly</w:t>
      </w:r>
      <w:r>
        <w:t xml:space="preserve"> zvolit i místní koeficient</w:t>
      </w:r>
      <w:r w:rsidR="00D81690">
        <w:t xml:space="preserve"> (§ 12)</w:t>
      </w:r>
      <w:r>
        <w:t xml:space="preserve">, kterým se celková daň ještě vynásobí, Praha však </w:t>
      </w:r>
      <w:r w:rsidR="00D81690">
        <w:t xml:space="preserve">této možnosti </w:t>
      </w:r>
      <w:r>
        <w:t>nevyužila.</w:t>
      </w:r>
    </w:p>
    <w:p w14:paraId="0FC89CE0" w14:textId="3B25B5C9" w:rsidR="00DF1377" w:rsidRDefault="00DF1377" w:rsidP="00DF1377">
      <w:r>
        <w:t>Koncem roku 2019</w:t>
      </w:r>
      <w:r>
        <w:t xml:space="preserve"> schválilo pražské zastupitelstvo nové znění vyhlášky</w:t>
      </w:r>
      <w:r w:rsidR="00AC07A2">
        <w:t xml:space="preserve"> (viz příloha)</w:t>
      </w:r>
      <w:r>
        <w:t xml:space="preserve">, která koeficienty mění a která znamená, že se ve většině pražských městských částí daň </w:t>
      </w:r>
      <w:r w:rsidR="00AC07A2">
        <w:t xml:space="preserve">na rok 2020 </w:t>
      </w:r>
      <w:r>
        <w:t>zvýš</w:t>
      </w:r>
      <w:r>
        <w:t>ila</w:t>
      </w:r>
      <w:r>
        <w:t>, a to v některých případech až dvojnásobně. Nově se sice v některých městských částech snížil základní velikostní koeficient na 2,5 nebo 3,5, zároveň se však stanovil místní koeficient 2. Koeficient pro nemovitosti určené k podnikání pak zůstal na úrovni 1,5.</w:t>
      </w:r>
    </w:p>
    <w:p w14:paraId="031D9B21" w14:textId="115A5F85" w:rsidR="00DF1377" w:rsidRDefault="00DF1377" w:rsidP="00DF1377">
      <w:r w:rsidRPr="00DF1377">
        <w:rPr>
          <w:b/>
          <w:bCs/>
        </w:rPr>
        <w:t>Kde se daň nezměn</w:t>
      </w:r>
      <w:r w:rsidRPr="00DF1377">
        <w:rPr>
          <w:b/>
          <w:bCs/>
        </w:rPr>
        <w:t>ila</w:t>
      </w:r>
    </w:p>
    <w:p w14:paraId="04066722" w14:textId="2084A515" w:rsidR="00DF1377" w:rsidRDefault="00DF1377" w:rsidP="00DF1377">
      <w:r>
        <w:t xml:space="preserve">Tam, kde se základní koeficient snížil na 2,5, zůstala daň stejná. Jde o </w:t>
      </w:r>
      <w:r>
        <w:t>tyto</w:t>
      </w:r>
      <w:r>
        <w:t xml:space="preserve"> městsk</w:t>
      </w:r>
      <w:r>
        <w:t>é</w:t>
      </w:r>
      <w:r>
        <w:t xml:space="preserve"> část</w:t>
      </w:r>
      <w:r>
        <w:t>i</w:t>
      </w:r>
      <w:r>
        <w:t>:</w:t>
      </w:r>
    </w:p>
    <w:p w14:paraId="04AF42F8" w14:textId="47FE6D9D" w:rsidR="00DF1377" w:rsidRDefault="00DF1377" w:rsidP="00DF1377">
      <w:pPr>
        <w:spacing w:after="0"/>
      </w:pPr>
      <w:r>
        <w:t>Praha 2</w:t>
      </w:r>
    </w:p>
    <w:p w14:paraId="52A8DFBC" w14:textId="06C003B2" w:rsidR="00DF1377" w:rsidRDefault="00DF1377" w:rsidP="00DF1377">
      <w:pPr>
        <w:spacing w:after="0"/>
      </w:pPr>
      <w:r>
        <w:t>Praha 4</w:t>
      </w:r>
    </w:p>
    <w:p w14:paraId="339C1F9E" w14:textId="0F5A671C" w:rsidR="00DF1377" w:rsidRDefault="00DF1377" w:rsidP="00DF1377">
      <w:pPr>
        <w:spacing w:after="0"/>
      </w:pPr>
      <w:r>
        <w:t>Praha 5</w:t>
      </w:r>
    </w:p>
    <w:p w14:paraId="0775AE98" w14:textId="1A324D6E" w:rsidR="00DF1377" w:rsidRDefault="00DF1377" w:rsidP="00DF1377">
      <w:pPr>
        <w:spacing w:after="0"/>
      </w:pPr>
      <w:r>
        <w:t>Praha 6</w:t>
      </w:r>
    </w:p>
    <w:p w14:paraId="48B7A78E" w14:textId="16D1278A" w:rsidR="00DF1377" w:rsidRDefault="00DF1377" w:rsidP="00DF1377">
      <w:pPr>
        <w:spacing w:after="0"/>
      </w:pPr>
      <w:r>
        <w:t>Praha 9</w:t>
      </w:r>
    </w:p>
    <w:p w14:paraId="48A3BE1D" w14:textId="70E6A3E9" w:rsidR="00DF1377" w:rsidRDefault="00DF1377" w:rsidP="00DF1377">
      <w:pPr>
        <w:spacing w:after="0"/>
      </w:pPr>
      <w:r>
        <w:t>Praha 13</w:t>
      </w:r>
    </w:p>
    <w:p w14:paraId="4CC13BF8" w14:textId="5B2B061F" w:rsidR="00DF1377" w:rsidRDefault="00DF1377" w:rsidP="00DF1377">
      <w:pPr>
        <w:spacing w:after="0"/>
      </w:pPr>
      <w:r>
        <w:t>Praha 14</w:t>
      </w:r>
    </w:p>
    <w:p w14:paraId="2C268657" w14:textId="1C96C36F" w:rsidR="00DF1377" w:rsidRDefault="00DF1377" w:rsidP="00DF1377">
      <w:pPr>
        <w:spacing w:after="0"/>
      </w:pPr>
      <w:r>
        <w:t>Praha 15</w:t>
      </w:r>
    </w:p>
    <w:p w14:paraId="5CFC8B00" w14:textId="04AF3033" w:rsidR="00DF1377" w:rsidRDefault="00DF1377" w:rsidP="00DF1377">
      <w:pPr>
        <w:spacing w:after="0"/>
      </w:pPr>
      <w:r>
        <w:t>Praha 16</w:t>
      </w:r>
    </w:p>
    <w:p w14:paraId="5F6D5F35" w14:textId="4FD8BDD0" w:rsidR="00DF1377" w:rsidRDefault="00DF1377" w:rsidP="00DF1377">
      <w:pPr>
        <w:spacing w:after="0"/>
      </w:pPr>
      <w:r>
        <w:t>Praha 17</w:t>
      </w:r>
    </w:p>
    <w:p w14:paraId="01EA56CA" w14:textId="48F6B1A0" w:rsidR="00DF1377" w:rsidRDefault="00DF1377" w:rsidP="00DF1377">
      <w:pPr>
        <w:spacing w:after="0"/>
      </w:pPr>
      <w:r>
        <w:t>Praha 19</w:t>
      </w:r>
    </w:p>
    <w:p w14:paraId="16103164" w14:textId="3B091188" w:rsidR="00DF1377" w:rsidRDefault="00DF1377" w:rsidP="00DF1377">
      <w:pPr>
        <w:spacing w:after="0"/>
      </w:pPr>
      <w:r>
        <w:t>Praha 20</w:t>
      </w:r>
    </w:p>
    <w:p w14:paraId="0643910A" w14:textId="65F2500B" w:rsidR="00DF1377" w:rsidRDefault="00DF1377" w:rsidP="00DF1377">
      <w:pPr>
        <w:spacing w:after="0"/>
      </w:pPr>
      <w:r>
        <w:t>Praha 21</w:t>
      </w:r>
    </w:p>
    <w:p w14:paraId="691FF097" w14:textId="1BF59455" w:rsidR="00DF1377" w:rsidRDefault="00DF1377" w:rsidP="00DF1377">
      <w:pPr>
        <w:spacing w:after="0"/>
      </w:pPr>
      <w:r>
        <w:t>Praha – Běchovice</w:t>
      </w:r>
    </w:p>
    <w:p w14:paraId="095DC765" w14:textId="37484EA8" w:rsidR="00DF1377" w:rsidRDefault="00DF1377" w:rsidP="00DF1377">
      <w:pPr>
        <w:spacing w:after="0"/>
      </w:pPr>
      <w:r>
        <w:t>Praha – Čakovice</w:t>
      </w:r>
    </w:p>
    <w:p w14:paraId="6DB72ECD" w14:textId="5602A5E1" w:rsidR="00DF1377" w:rsidRDefault="00DF1377" w:rsidP="00DF1377">
      <w:pPr>
        <w:spacing w:after="0"/>
      </w:pPr>
      <w:r>
        <w:t>Praha – Dolní Měcholupy</w:t>
      </w:r>
    </w:p>
    <w:p w14:paraId="278B68C2" w14:textId="3EA28CB1" w:rsidR="00DF1377" w:rsidRDefault="00DF1377" w:rsidP="00DF1377">
      <w:pPr>
        <w:spacing w:after="0"/>
      </w:pPr>
      <w:r>
        <w:t>Praha – Dolní Počernice</w:t>
      </w:r>
    </w:p>
    <w:p w14:paraId="2A3E9EBD" w14:textId="7CFC47FA" w:rsidR="00DF1377" w:rsidRDefault="00DF1377" w:rsidP="00DF1377">
      <w:pPr>
        <w:spacing w:after="0"/>
      </w:pPr>
      <w:r>
        <w:t>Praha – Královice</w:t>
      </w:r>
    </w:p>
    <w:p w14:paraId="3F5C7E58" w14:textId="75622E50" w:rsidR="00DF1377" w:rsidRDefault="00DF1377" w:rsidP="00DF1377">
      <w:pPr>
        <w:spacing w:after="0"/>
      </w:pPr>
      <w:r>
        <w:t>Praha – Lochkov</w:t>
      </w:r>
    </w:p>
    <w:p w14:paraId="5A67CCF6" w14:textId="5297B3DD" w:rsidR="00DF1377" w:rsidRDefault="00DF1377" w:rsidP="00DF1377">
      <w:pPr>
        <w:spacing w:after="0"/>
      </w:pPr>
      <w:r>
        <w:t>Praha – Přední Kopanina</w:t>
      </w:r>
    </w:p>
    <w:p w14:paraId="5B2ECEC9" w14:textId="20DC086B" w:rsidR="00DF1377" w:rsidRDefault="00DF1377" w:rsidP="00DF1377">
      <w:pPr>
        <w:spacing w:after="0"/>
      </w:pPr>
      <w:r>
        <w:t>Praha – Satalice</w:t>
      </w:r>
    </w:p>
    <w:p w14:paraId="2DBFD18F" w14:textId="343BB043" w:rsidR="00DF1377" w:rsidRDefault="00DF1377" w:rsidP="00DF1377">
      <w:pPr>
        <w:spacing w:after="0"/>
      </w:pPr>
      <w:r>
        <w:t>Praha – Štěrboholy</w:t>
      </w:r>
    </w:p>
    <w:p w14:paraId="32D71AF0" w14:textId="70E5C770" w:rsidR="00DF1377" w:rsidRDefault="00DF1377" w:rsidP="00DF1377">
      <w:pPr>
        <w:spacing w:after="0"/>
      </w:pPr>
      <w:r>
        <w:t>Praha – Velká Chuchle</w:t>
      </w:r>
    </w:p>
    <w:p w14:paraId="013147AD" w14:textId="3A21105E" w:rsidR="00DF1377" w:rsidRDefault="00DF1377" w:rsidP="00DF1377">
      <w:pPr>
        <w:spacing w:after="0"/>
      </w:pPr>
      <w:r>
        <w:t>Praha – Zličín</w:t>
      </w:r>
    </w:p>
    <w:p w14:paraId="5A976D32" w14:textId="77777777" w:rsidR="00DF1377" w:rsidRDefault="00DF1377" w:rsidP="00DF1377"/>
    <w:p w14:paraId="7E44FD97" w14:textId="3DC68317" w:rsidR="00DF1377" w:rsidRPr="00DF1377" w:rsidRDefault="00DF1377" w:rsidP="00DF1377">
      <w:pPr>
        <w:rPr>
          <w:b/>
          <w:bCs/>
        </w:rPr>
      </w:pPr>
      <w:r w:rsidRPr="00DF1377">
        <w:rPr>
          <w:b/>
          <w:bCs/>
        </w:rPr>
        <w:t>Kde se daň zvýš</w:t>
      </w:r>
      <w:r w:rsidRPr="00DF1377">
        <w:rPr>
          <w:b/>
          <w:bCs/>
        </w:rPr>
        <w:t>ila</w:t>
      </w:r>
    </w:p>
    <w:p w14:paraId="148FCD95" w14:textId="379DD883" w:rsidR="00DF1377" w:rsidRDefault="00DF1377" w:rsidP="00DF1377">
      <w:r>
        <w:t xml:space="preserve">V </w:t>
      </w:r>
      <w:r>
        <w:t>těchto</w:t>
      </w:r>
      <w:r>
        <w:t xml:space="preserve"> městských částech </w:t>
      </w:r>
      <w:r>
        <w:t>je</w:t>
      </w:r>
      <w:r>
        <w:t xml:space="preserve"> základní koeficient 3,5, což spolu s místním koeficientem znamená </w:t>
      </w:r>
      <w:r w:rsidRPr="00F60CAC">
        <w:rPr>
          <w:b/>
          <w:bCs/>
        </w:rPr>
        <w:t>mírné zvýšení daně</w:t>
      </w:r>
      <w:r>
        <w:t>:</w:t>
      </w:r>
    </w:p>
    <w:p w14:paraId="16B4E194" w14:textId="6710C5F4" w:rsidR="00B113BF" w:rsidRDefault="00DF1377" w:rsidP="007B354C">
      <w:pPr>
        <w:spacing w:after="0"/>
      </w:pPr>
      <w:r>
        <w:t>Praha 12</w:t>
      </w:r>
    </w:p>
    <w:p w14:paraId="6CA4266B" w14:textId="0986FCC2" w:rsidR="00DF1377" w:rsidRDefault="00DF1377" w:rsidP="007B354C">
      <w:pPr>
        <w:spacing w:after="0"/>
      </w:pPr>
      <w:r>
        <w:t>Praha – Dubeč</w:t>
      </w:r>
    </w:p>
    <w:p w14:paraId="7062BEF2" w14:textId="1A9B4D29" w:rsidR="00DF1377" w:rsidRDefault="00DF1377" w:rsidP="007B354C">
      <w:pPr>
        <w:spacing w:after="0"/>
      </w:pPr>
      <w:r>
        <w:lastRenderedPageBreak/>
        <w:t>Praha – Koloděje</w:t>
      </w:r>
    </w:p>
    <w:p w14:paraId="17442F4B" w14:textId="52EBD797" w:rsidR="00DF1377" w:rsidRDefault="00DF1377" w:rsidP="007B354C">
      <w:pPr>
        <w:spacing w:after="0"/>
      </w:pPr>
      <w:r>
        <w:t>Praha – Křeslice</w:t>
      </w:r>
    </w:p>
    <w:p w14:paraId="2DD720F2" w14:textId="3CBA9073" w:rsidR="00DF1377" w:rsidRDefault="00DF1377" w:rsidP="007B354C">
      <w:pPr>
        <w:spacing w:after="0"/>
      </w:pPr>
      <w:r>
        <w:t>Praha – Libuš</w:t>
      </w:r>
    </w:p>
    <w:p w14:paraId="3117AF71" w14:textId="5C446863" w:rsidR="00DF1377" w:rsidRDefault="00DF1377" w:rsidP="007B354C">
      <w:pPr>
        <w:spacing w:after="0"/>
      </w:pPr>
      <w:r>
        <w:t>Praha – Lipence</w:t>
      </w:r>
    </w:p>
    <w:p w14:paraId="74B25F7C" w14:textId="47658B49" w:rsidR="00DF1377" w:rsidRDefault="00DF1377" w:rsidP="007B354C">
      <w:pPr>
        <w:spacing w:after="0"/>
      </w:pPr>
      <w:r>
        <w:t>Praha – Nedvězí</w:t>
      </w:r>
    </w:p>
    <w:p w14:paraId="7A06054A" w14:textId="1D9D49E3" w:rsidR="00DF1377" w:rsidRDefault="00DF1377" w:rsidP="007B354C">
      <w:pPr>
        <w:spacing w:after="0"/>
      </w:pPr>
      <w:r>
        <w:t>Praha – Vinoř</w:t>
      </w:r>
    </w:p>
    <w:p w14:paraId="5405E1CA" w14:textId="77777777" w:rsidR="00DF1377" w:rsidRDefault="00DF1377" w:rsidP="00DF1377"/>
    <w:p w14:paraId="00B3F09B" w14:textId="26487379" w:rsidR="00DF1377" w:rsidRDefault="00DF1377" w:rsidP="00DF1377">
      <w:r>
        <w:t>V dalších částech dosáh</w:t>
      </w:r>
      <w:r w:rsidR="00AB086D">
        <w:t>l</w:t>
      </w:r>
      <w:r>
        <w:t xml:space="preserve"> základní koeficient 4,5, což znamená </w:t>
      </w:r>
      <w:r w:rsidRPr="00F60CAC">
        <w:rPr>
          <w:b/>
          <w:bCs/>
        </w:rPr>
        <w:t>skoro zdvojnásobení daně</w:t>
      </w:r>
      <w:r w:rsidR="00AB086D">
        <w:t>:</w:t>
      </w:r>
    </w:p>
    <w:p w14:paraId="12222535" w14:textId="1A1C3A8A" w:rsidR="00DF1377" w:rsidRDefault="00DF1377" w:rsidP="00AB086D">
      <w:pPr>
        <w:spacing w:after="0"/>
      </w:pPr>
      <w:r>
        <w:t>Praha 11</w:t>
      </w:r>
    </w:p>
    <w:p w14:paraId="42FA0CE4" w14:textId="36283F30" w:rsidR="00DF1377" w:rsidRDefault="00DF1377" w:rsidP="00AB086D">
      <w:pPr>
        <w:spacing w:after="0"/>
      </w:pPr>
      <w:r>
        <w:t>Praha – Benice</w:t>
      </w:r>
    </w:p>
    <w:p w14:paraId="0DCD535F" w14:textId="410CF758" w:rsidR="00DF1377" w:rsidRDefault="00DF1377" w:rsidP="00AB086D">
      <w:pPr>
        <w:spacing w:after="0"/>
      </w:pPr>
      <w:r>
        <w:t>Praha – Klánovice</w:t>
      </w:r>
    </w:p>
    <w:p w14:paraId="190418B7" w14:textId="77777777" w:rsidR="00DF1377" w:rsidRDefault="00DF1377" w:rsidP="00AB086D">
      <w:pPr>
        <w:spacing w:after="0"/>
      </w:pPr>
      <w:r>
        <w:t>Praha – Nebušice</w:t>
      </w:r>
    </w:p>
    <w:p w14:paraId="4D34D69B" w14:textId="77777777" w:rsidR="00DF1377" w:rsidRDefault="00DF1377" w:rsidP="00DF1377"/>
    <w:p w14:paraId="7F19E600" w14:textId="6A73DDC1" w:rsidR="00DF1377" w:rsidRDefault="00DF1377" w:rsidP="00DF1377">
      <w:r w:rsidRPr="00F60CAC">
        <w:rPr>
          <w:b/>
          <w:bCs/>
        </w:rPr>
        <w:t>Zdvojnásobení daně</w:t>
      </w:r>
      <w:r>
        <w:t xml:space="preserve"> kvůli koeficientu 5 </w:t>
      </w:r>
      <w:r w:rsidR="002B2626">
        <w:t>se vztahuje na</w:t>
      </w:r>
      <w:r>
        <w:t xml:space="preserve"> obyvatele </w:t>
      </w:r>
      <w:r w:rsidR="002B2626">
        <w:t>těchto</w:t>
      </w:r>
      <w:r>
        <w:t xml:space="preserve"> městských částí:</w:t>
      </w:r>
    </w:p>
    <w:p w14:paraId="1F998B35" w14:textId="1E21ECA3" w:rsidR="00DF1377" w:rsidRDefault="00DF1377" w:rsidP="002B2626">
      <w:pPr>
        <w:spacing w:after="0"/>
      </w:pPr>
      <w:r>
        <w:t>Praha 1</w:t>
      </w:r>
    </w:p>
    <w:p w14:paraId="607E37CF" w14:textId="167FD9FF" w:rsidR="00DF1377" w:rsidRDefault="00DF1377" w:rsidP="002B2626">
      <w:pPr>
        <w:spacing w:after="0"/>
      </w:pPr>
      <w:r>
        <w:t>Praha 3</w:t>
      </w:r>
    </w:p>
    <w:p w14:paraId="652FEBF2" w14:textId="41DAD421" w:rsidR="00DF1377" w:rsidRDefault="00DF1377" w:rsidP="002B2626">
      <w:pPr>
        <w:spacing w:after="0"/>
      </w:pPr>
      <w:r>
        <w:t>Praha 7</w:t>
      </w:r>
    </w:p>
    <w:p w14:paraId="7A7B8464" w14:textId="0308D8EF" w:rsidR="00DF1377" w:rsidRDefault="00DF1377" w:rsidP="002B2626">
      <w:pPr>
        <w:spacing w:after="0"/>
      </w:pPr>
      <w:r>
        <w:t>Praha 8</w:t>
      </w:r>
    </w:p>
    <w:p w14:paraId="6F92FC97" w14:textId="05770A04" w:rsidR="00DF1377" w:rsidRDefault="00DF1377" w:rsidP="002B2626">
      <w:pPr>
        <w:spacing w:after="0"/>
      </w:pPr>
      <w:r>
        <w:t>Praha 10</w:t>
      </w:r>
    </w:p>
    <w:p w14:paraId="74F12E41" w14:textId="42C7EFFB" w:rsidR="00DF1377" w:rsidRDefault="00DF1377" w:rsidP="002B2626">
      <w:pPr>
        <w:spacing w:after="0"/>
      </w:pPr>
      <w:r>
        <w:t>Praha 18</w:t>
      </w:r>
    </w:p>
    <w:p w14:paraId="63886820" w14:textId="0B4E4752" w:rsidR="00DF1377" w:rsidRDefault="00DF1377" w:rsidP="002B2626">
      <w:pPr>
        <w:spacing w:after="0"/>
      </w:pPr>
      <w:r>
        <w:t>Praha 22</w:t>
      </w:r>
    </w:p>
    <w:p w14:paraId="030F7EDA" w14:textId="5512C27F" w:rsidR="00DF1377" w:rsidRDefault="00DF1377" w:rsidP="002B2626">
      <w:pPr>
        <w:spacing w:after="0"/>
      </w:pPr>
      <w:r>
        <w:t>Praha – Březiněves</w:t>
      </w:r>
    </w:p>
    <w:p w14:paraId="048221E7" w14:textId="4BBC5455" w:rsidR="00DF1377" w:rsidRDefault="00DF1377" w:rsidP="002B2626">
      <w:pPr>
        <w:spacing w:after="0"/>
      </w:pPr>
      <w:r>
        <w:t>Praha – Dolní Chabry</w:t>
      </w:r>
    </w:p>
    <w:p w14:paraId="0F5B50F2" w14:textId="12FC24B0" w:rsidR="00DF1377" w:rsidRDefault="00DF1377" w:rsidP="002B2626">
      <w:pPr>
        <w:spacing w:after="0"/>
      </w:pPr>
      <w:r>
        <w:t>Praha – Ďáblice</w:t>
      </w:r>
    </w:p>
    <w:p w14:paraId="3D3D1CF6" w14:textId="6E182550" w:rsidR="00DF1377" w:rsidRDefault="00DF1377" w:rsidP="002B2626">
      <w:pPr>
        <w:spacing w:after="0"/>
      </w:pPr>
      <w:r>
        <w:t>Praha – Kolovraty</w:t>
      </w:r>
    </w:p>
    <w:p w14:paraId="6C8CD7C7" w14:textId="2F5C62CD" w:rsidR="00DF1377" w:rsidRDefault="00DF1377" w:rsidP="002B2626">
      <w:pPr>
        <w:spacing w:after="0"/>
      </w:pPr>
      <w:r>
        <w:t>Praha – Kunratice</w:t>
      </w:r>
    </w:p>
    <w:p w14:paraId="723EDDAF" w14:textId="06472C51" w:rsidR="00DF1377" w:rsidRDefault="00DF1377" w:rsidP="002B2626">
      <w:pPr>
        <w:spacing w:after="0"/>
      </w:pPr>
      <w:r>
        <w:t>Praha – Lysolaje</w:t>
      </w:r>
    </w:p>
    <w:p w14:paraId="70CB6E18" w14:textId="737BCABB" w:rsidR="00DF1377" w:rsidRDefault="00DF1377" w:rsidP="002B2626">
      <w:pPr>
        <w:spacing w:after="0"/>
      </w:pPr>
      <w:r>
        <w:t>Praha – Petrovice</w:t>
      </w:r>
    </w:p>
    <w:p w14:paraId="474B81BC" w14:textId="6F1D67AF" w:rsidR="00DF1377" w:rsidRDefault="00DF1377" w:rsidP="002B2626">
      <w:pPr>
        <w:spacing w:after="0"/>
      </w:pPr>
      <w:r>
        <w:t>Praha – Řeporyje</w:t>
      </w:r>
    </w:p>
    <w:p w14:paraId="36BCDC3E" w14:textId="561F993D" w:rsidR="00DF1377" w:rsidRDefault="00DF1377" w:rsidP="002B2626">
      <w:pPr>
        <w:spacing w:after="0"/>
      </w:pPr>
      <w:r>
        <w:t>Praha – Slivenec</w:t>
      </w:r>
    </w:p>
    <w:p w14:paraId="065A134A" w14:textId="15468BF5" w:rsidR="00DF1377" w:rsidRDefault="00DF1377" w:rsidP="002B2626">
      <w:pPr>
        <w:spacing w:after="0"/>
      </w:pPr>
      <w:r>
        <w:t>Praha – Suchdol</w:t>
      </w:r>
    </w:p>
    <w:p w14:paraId="48A2AC6A" w14:textId="4E7404D4" w:rsidR="00DF1377" w:rsidRDefault="00DF1377" w:rsidP="002B2626">
      <w:pPr>
        <w:spacing w:after="0"/>
      </w:pPr>
      <w:r>
        <w:t>Praha – Šeberov</w:t>
      </w:r>
    </w:p>
    <w:p w14:paraId="23BD30A2" w14:textId="53EA1627" w:rsidR="00DF1377" w:rsidRDefault="00DF1377" w:rsidP="002B2626">
      <w:pPr>
        <w:spacing w:after="0"/>
      </w:pPr>
      <w:r>
        <w:t>Praha – Troja</w:t>
      </w:r>
    </w:p>
    <w:p w14:paraId="2BFF6D53" w14:textId="5660A78A" w:rsidR="00DF1377" w:rsidRDefault="00DF1377" w:rsidP="002B2626">
      <w:pPr>
        <w:spacing w:after="0"/>
      </w:pPr>
      <w:r>
        <w:t>Praha – Újezd</w:t>
      </w:r>
    </w:p>
    <w:p w14:paraId="0111E505" w14:textId="55083D03" w:rsidR="00DF1377" w:rsidRDefault="00DF1377" w:rsidP="002B2626">
      <w:pPr>
        <w:spacing w:after="0"/>
      </w:pPr>
      <w:r>
        <w:t>Praha – Zbraslav</w:t>
      </w:r>
    </w:p>
    <w:p w14:paraId="5464775A" w14:textId="77777777" w:rsidR="00DF1377" w:rsidRDefault="00DF1377" w:rsidP="00DF1377"/>
    <w:p w14:paraId="195DE4B3" w14:textId="77777777" w:rsidR="00DF1377" w:rsidRDefault="00DF1377" w:rsidP="00DF1377"/>
    <w:p w14:paraId="421B71F5" w14:textId="3ECD88FD" w:rsidR="00DF1377" w:rsidRDefault="00DF1377" w:rsidP="00DF1377">
      <w:r>
        <w:t xml:space="preserve">Zatímco </w:t>
      </w:r>
      <w:r w:rsidRPr="00086596">
        <w:rPr>
          <w:b/>
          <w:bCs/>
        </w:rPr>
        <w:t>u nemovitostí, které jsou určeny k bydlení</w:t>
      </w:r>
      <w:r>
        <w:t xml:space="preserve">, </w:t>
      </w:r>
      <w:r w:rsidR="00086596">
        <w:t xml:space="preserve">tedy </w:t>
      </w:r>
      <w:r>
        <w:t>záleže</w:t>
      </w:r>
      <w:r w:rsidR="00086596">
        <w:t>lo</w:t>
      </w:r>
      <w:r>
        <w:t xml:space="preserve"> na konkrétní městské části, zda se daň </w:t>
      </w:r>
      <w:r w:rsidR="00E433BA">
        <w:t>vlastníků</w:t>
      </w:r>
      <w:r w:rsidR="00715A3D">
        <w:t>m</w:t>
      </w:r>
      <w:r w:rsidR="00E433BA">
        <w:t xml:space="preserve"> těchto nemovitostí </w:t>
      </w:r>
      <w:r>
        <w:t>zvýší, daň se zdvojnásob</w:t>
      </w:r>
      <w:r w:rsidR="00086596">
        <w:t>ila</w:t>
      </w:r>
      <w:r>
        <w:t xml:space="preserve"> všem podnikatelům, respektive nemovitostem určeným k</w:t>
      </w:r>
      <w:r w:rsidR="00086596">
        <w:t> </w:t>
      </w:r>
      <w:proofErr w:type="gramStart"/>
      <w:r>
        <w:t>podnikání</w:t>
      </w:r>
      <w:r w:rsidR="00086596">
        <w:t xml:space="preserve"> </w:t>
      </w:r>
      <w:r w:rsidR="00E24DEC">
        <w:t xml:space="preserve"> </w:t>
      </w:r>
      <w:r w:rsidR="008A0470">
        <w:t>–</w:t>
      </w:r>
      <w:proofErr w:type="gramEnd"/>
      <w:r>
        <w:t xml:space="preserve"> pražští podnikatelé zaplatí dvakrát tolik</w:t>
      </w:r>
      <w:r w:rsidR="00E24DEC">
        <w:t xml:space="preserve"> než tomu bylo v loňském roce</w:t>
      </w:r>
      <w:r w:rsidR="008B34E4">
        <w:t>.</w:t>
      </w:r>
    </w:p>
    <w:p w14:paraId="31EF900F" w14:textId="77777777" w:rsidR="00DF1377" w:rsidRDefault="00DF1377" w:rsidP="00DF1377"/>
    <w:p w14:paraId="4E7650F0" w14:textId="77777777" w:rsidR="00DF1377" w:rsidRDefault="00DF1377" w:rsidP="00DF1377"/>
    <w:p w14:paraId="7F743D71" w14:textId="77777777" w:rsidR="00DF1377" w:rsidRDefault="00DF1377" w:rsidP="00DF1377"/>
    <w:sectPr w:rsidR="00DF1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77"/>
    <w:rsid w:val="00086596"/>
    <w:rsid w:val="001D5F67"/>
    <w:rsid w:val="002B2626"/>
    <w:rsid w:val="00457B4D"/>
    <w:rsid w:val="006B44F5"/>
    <w:rsid w:val="00715A3D"/>
    <w:rsid w:val="007B354C"/>
    <w:rsid w:val="00832FBA"/>
    <w:rsid w:val="008A0470"/>
    <w:rsid w:val="008B34E4"/>
    <w:rsid w:val="00AB086D"/>
    <w:rsid w:val="00AC07A2"/>
    <w:rsid w:val="00B113BF"/>
    <w:rsid w:val="00D81690"/>
    <w:rsid w:val="00DF1377"/>
    <w:rsid w:val="00E24DEC"/>
    <w:rsid w:val="00E433BA"/>
    <w:rsid w:val="00F60CAC"/>
    <w:rsid w:val="00F9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E2FF"/>
  <w15:chartTrackingRefBased/>
  <w15:docId w15:val="{AF2B7737-15F7-432D-AF30-CD9387A1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C31E30FEA5614EA4C4FE9E264E7C91" ma:contentTypeVersion="8" ma:contentTypeDescription="Vytvoří nový dokument" ma:contentTypeScope="" ma:versionID="35bc58848f44ff50d3527e152b4fe8a2">
  <xsd:schema xmlns:xsd="http://www.w3.org/2001/XMLSchema" xmlns:xs="http://www.w3.org/2001/XMLSchema" xmlns:p="http://schemas.microsoft.com/office/2006/metadata/properties" xmlns:ns3="935451f9-b08e-4ce6-8a6b-f7e736feddd7" targetNamespace="http://schemas.microsoft.com/office/2006/metadata/properties" ma:root="true" ma:fieldsID="3234c3c648078868722baf1a3a141921" ns3:_="">
    <xsd:import namespace="935451f9-b08e-4ce6-8a6b-f7e736fedd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51f9-b08e-4ce6-8a6b-f7e736fedd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4BB73E-BCDD-4CE1-8BFE-5F5C65C0E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451f9-b08e-4ce6-8a6b-f7e736fed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BBDE60-FB93-4E0C-A498-7E671046DB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6752B4-715C-42FF-AFF8-E8B7D807C0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356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Lenka Haráková</dc:creator>
  <cp:keywords/>
  <dc:description/>
  <cp:lastModifiedBy>Ing. Lenka Haráková</cp:lastModifiedBy>
  <cp:revision>18</cp:revision>
  <dcterms:created xsi:type="dcterms:W3CDTF">2020-05-11T08:40:00Z</dcterms:created>
  <dcterms:modified xsi:type="dcterms:W3CDTF">2020-05-11T09:03:00Z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0x01010065C31E30FEA5614EA4C4FE9E264E7C91</vt:lpwstr>
  </property>
</Properties>
</file>